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17832" w14:textId="2DEC5CB6" w:rsidR="004E7CF1" w:rsidRPr="00D34646" w:rsidRDefault="004E7CF1" w:rsidP="0096615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83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</w:p>
    <w:p w14:paraId="2251D43F" w14:textId="77777777" w:rsidR="00675627" w:rsidRPr="00D34646" w:rsidRDefault="00675627" w:rsidP="0096615C">
      <w:pPr>
        <w:spacing w:before="240" w:after="0" w:line="276" w:lineRule="auto"/>
        <w:ind w:right="283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79117CC" w14:textId="4FDD1188" w:rsidR="00675627" w:rsidRPr="00D34646" w:rsidRDefault="00675627" w:rsidP="0096615C">
      <w:pPr>
        <w:spacing w:before="240" w:after="0" w:line="276" w:lineRule="auto"/>
        <w:ind w:right="283"/>
        <w:jc w:val="center"/>
        <w:rPr>
          <w:rFonts w:asciiTheme="minorHAnsi" w:hAnsiTheme="minorHAnsi" w:cstheme="minorHAnsi"/>
          <w:b/>
          <w:sz w:val="28"/>
          <w:szCs w:val="28"/>
          <w:lang w:val="uk-UA"/>
        </w:rPr>
      </w:pPr>
      <w:r w:rsidRPr="00D34646">
        <w:rPr>
          <w:rFonts w:asciiTheme="minorHAnsi" w:hAnsiTheme="minorHAnsi" w:cstheme="minorHAnsi"/>
          <w:b/>
          <w:sz w:val="28"/>
          <w:szCs w:val="28"/>
          <w:lang w:val="uk-UA"/>
        </w:rPr>
        <w:t>ТЕХНІЧНЕ ЗАВДАННЯ</w:t>
      </w:r>
    </w:p>
    <w:p w14:paraId="574CD4BA" w14:textId="2067DFFF" w:rsidR="004E7CF1" w:rsidRPr="00D34646" w:rsidRDefault="00591758" w:rsidP="0096615C">
      <w:pPr>
        <w:spacing w:before="240" w:after="0" w:line="276" w:lineRule="auto"/>
        <w:ind w:right="283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D3464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75627" w:rsidRPr="00D34646">
        <w:rPr>
          <w:rFonts w:asciiTheme="minorHAnsi" w:hAnsiTheme="minorHAnsi" w:cstheme="minorHAnsi"/>
          <w:b/>
          <w:sz w:val="28"/>
          <w:szCs w:val="28"/>
          <w:lang w:val="uk-UA"/>
        </w:rPr>
        <w:t>До замовлення</w:t>
      </w:r>
      <w:bookmarkStart w:id="0" w:name="_GoBack"/>
      <w:bookmarkEnd w:id="0"/>
      <w:r w:rsidR="00675627" w:rsidRPr="00D34646">
        <w:rPr>
          <w:rFonts w:asciiTheme="minorHAnsi" w:hAnsiTheme="minorHAnsi" w:cstheme="minorHAnsi"/>
          <w:b/>
          <w:sz w:val="28"/>
          <w:szCs w:val="28"/>
          <w:lang w:val="uk-UA"/>
        </w:rPr>
        <w:t xml:space="preserve"> </w:t>
      </w:r>
      <w:r w:rsidRPr="00D34646">
        <w:rPr>
          <w:rFonts w:asciiTheme="minorHAnsi" w:hAnsiTheme="minorHAnsi" w:cstheme="minorHAnsi"/>
          <w:b/>
          <w:sz w:val="28"/>
          <w:szCs w:val="28"/>
        </w:rPr>
        <w:t xml:space="preserve">послуг незалежної </w:t>
      </w:r>
      <w:r w:rsidR="00675627" w:rsidRPr="00D34646">
        <w:rPr>
          <w:rFonts w:asciiTheme="minorHAnsi" w:hAnsiTheme="minorHAnsi" w:cstheme="minorHAnsi"/>
          <w:b/>
          <w:sz w:val="28"/>
          <w:szCs w:val="28"/>
          <w:lang w:val="uk-UA"/>
        </w:rPr>
        <w:t>проміжної</w:t>
      </w:r>
      <w:r w:rsidRPr="00D34646">
        <w:rPr>
          <w:rFonts w:asciiTheme="minorHAnsi" w:hAnsiTheme="minorHAnsi" w:cstheme="minorHAnsi"/>
          <w:b/>
          <w:sz w:val="28"/>
          <w:szCs w:val="28"/>
        </w:rPr>
        <w:t xml:space="preserve"> оцінки </w:t>
      </w:r>
    </w:p>
    <w:p w14:paraId="69D5A9AE" w14:textId="77777777" w:rsidR="007B41C4" w:rsidRPr="00D34646" w:rsidRDefault="00591758" w:rsidP="0096615C">
      <w:pPr>
        <w:spacing w:before="240" w:after="0" w:line="276" w:lineRule="auto"/>
        <w:ind w:right="283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D34646">
        <w:rPr>
          <w:rFonts w:asciiTheme="minorHAnsi" w:hAnsiTheme="minorHAnsi" w:cstheme="minorHAnsi"/>
          <w:b/>
          <w:sz w:val="28"/>
          <w:szCs w:val="28"/>
        </w:rPr>
        <w:t xml:space="preserve">Проєкт «Розширення можливостей громадянського суспільства для стійкості та відновлення України» </w:t>
      </w:r>
    </w:p>
    <w:p w14:paraId="3989D71C" w14:textId="076C8C32" w:rsidR="004E7CF1" w:rsidRPr="00D34646" w:rsidRDefault="00591758" w:rsidP="0096615C">
      <w:pPr>
        <w:spacing w:before="240" w:after="0" w:line="276" w:lineRule="auto"/>
        <w:ind w:right="283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D34646">
        <w:rPr>
          <w:rFonts w:asciiTheme="minorHAnsi" w:hAnsiTheme="minorHAnsi" w:cstheme="minorHAnsi"/>
          <w:b/>
          <w:sz w:val="32"/>
          <w:szCs w:val="32"/>
        </w:rPr>
        <w:t>(</w:t>
      </w:r>
      <w:r w:rsidR="00EB0578" w:rsidRPr="00D34646">
        <w:rPr>
          <w:rFonts w:asciiTheme="minorHAnsi" w:hAnsiTheme="minorHAnsi" w:cstheme="minorHAnsi"/>
          <w:b/>
          <w:sz w:val="32"/>
          <w:szCs w:val="32"/>
          <w:lang w:val="uk-UA"/>
        </w:rPr>
        <w:t xml:space="preserve">Проєкт </w:t>
      </w:r>
      <w:r w:rsidRPr="00D34646">
        <w:rPr>
          <w:rFonts w:asciiTheme="minorHAnsi" w:hAnsiTheme="minorHAnsi" w:cstheme="minorHAnsi"/>
          <w:b/>
          <w:sz w:val="32"/>
          <w:szCs w:val="32"/>
        </w:rPr>
        <w:t xml:space="preserve">Імпульс) </w:t>
      </w:r>
    </w:p>
    <w:p w14:paraId="780E2A74" w14:textId="21E0F071" w:rsidR="004E7CF1" w:rsidRPr="00D34646" w:rsidRDefault="00675627" w:rsidP="00675627">
      <w:pPr>
        <w:spacing w:before="240" w:after="0" w:line="276" w:lineRule="auto"/>
        <w:ind w:right="283"/>
        <w:rPr>
          <w:rFonts w:asciiTheme="minorHAnsi" w:hAnsiTheme="minorHAnsi" w:cstheme="minorHAnsi"/>
          <w:b/>
          <w:sz w:val="28"/>
          <w:szCs w:val="28"/>
          <w:lang w:val="uk-UA"/>
        </w:rPr>
      </w:pPr>
      <w:r w:rsidRPr="00D34646">
        <w:rPr>
          <w:rFonts w:asciiTheme="minorHAnsi" w:hAnsiTheme="minorHAnsi" w:cstheme="minorHAnsi"/>
          <w:b/>
          <w:sz w:val="28"/>
          <w:szCs w:val="28"/>
          <w:lang w:val="uk-UA"/>
        </w:rPr>
        <w:t>Контекст</w:t>
      </w:r>
    </w:p>
    <w:p w14:paraId="527FA9D0" w14:textId="36B8BC6B" w:rsidR="004E7CF1" w:rsidRPr="00D34646" w:rsidRDefault="0096615C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hyperlink r:id="rId8">
        <w:r w:rsidR="00591758" w:rsidRPr="00D34646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Міжнародний фонд Відродження</w:t>
        </w:r>
      </w:hyperlink>
      <w:r w:rsidR="00591758"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EB0578" w:rsidRPr="00D34646">
        <w:rPr>
          <w:rFonts w:asciiTheme="minorHAnsi" w:hAnsiTheme="minorHAnsi" w:cstheme="minorHAnsi"/>
          <w:sz w:val="24"/>
          <w:szCs w:val="24"/>
          <w:lang w:val="uk-UA"/>
        </w:rPr>
        <w:t>у</w:t>
      </w:r>
      <w:r w:rsidR="00591758" w:rsidRPr="00D34646">
        <w:rPr>
          <w:rFonts w:asciiTheme="minorHAnsi" w:hAnsiTheme="minorHAnsi" w:cstheme="minorHAnsi"/>
          <w:sz w:val="24"/>
          <w:szCs w:val="24"/>
        </w:rPr>
        <w:t xml:space="preserve"> партнерстві з Фондом</w:t>
      </w:r>
      <w:hyperlink r:id="rId9" w:history="1">
        <w:r w:rsidR="00591758" w:rsidRPr="00D34646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="00EB0578" w:rsidRPr="00D34646">
          <w:rPr>
            <w:rStyle w:val="Hyperlink"/>
            <w:rFonts w:asciiTheme="minorHAnsi" w:hAnsiTheme="minorHAnsi" w:cstheme="minorHAnsi"/>
            <w:lang w:val="uk-UA"/>
          </w:rPr>
          <w:t xml:space="preserve">Східна Європа  </w:t>
        </w:r>
        <w:r w:rsidR="00591758" w:rsidRPr="00D34646">
          <w:rPr>
            <w:rStyle w:val="Hyperlink"/>
            <w:rFonts w:asciiTheme="minorHAnsi" w:hAnsiTheme="minorHAnsi" w:cstheme="minorHAnsi"/>
            <w:sz w:val="24"/>
            <w:szCs w:val="24"/>
          </w:rPr>
          <w:t>за ф</w:t>
        </w:r>
      </w:hyperlink>
      <w:r w:rsidR="00591758" w:rsidRPr="00D34646">
        <w:rPr>
          <w:rFonts w:asciiTheme="minorHAnsi" w:hAnsiTheme="minorHAnsi" w:cstheme="minorHAnsi"/>
          <w:sz w:val="24"/>
          <w:szCs w:val="24"/>
        </w:rPr>
        <w:t>інансової підтримки Норвегії (</w:t>
      </w:r>
      <w:proofErr w:type="spellStart"/>
      <w:r w:rsidR="00591758" w:rsidRPr="00D34646">
        <w:rPr>
          <w:rFonts w:asciiTheme="minorHAnsi" w:hAnsiTheme="minorHAnsi" w:cstheme="minorHAnsi"/>
        </w:rPr>
        <w:fldChar w:fldCharType="begin"/>
      </w:r>
      <w:r w:rsidR="00591758" w:rsidRPr="00D34646">
        <w:rPr>
          <w:rFonts w:asciiTheme="minorHAnsi" w:hAnsiTheme="minorHAnsi" w:cstheme="minorHAnsi"/>
        </w:rPr>
        <w:instrText>HYPERLINK "https://www.norad.no/en/" \h</w:instrText>
      </w:r>
      <w:r w:rsidR="00591758" w:rsidRPr="00D34646">
        <w:rPr>
          <w:rFonts w:asciiTheme="minorHAnsi" w:hAnsiTheme="minorHAnsi" w:cstheme="minorHAnsi"/>
        </w:rPr>
        <w:fldChar w:fldCharType="separate"/>
      </w:r>
      <w:r w:rsidR="00591758" w:rsidRPr="00D34646">
        <w:rPr>
          <w:rFonts w:asciiTheme="minorHAnsi" w:hAnsiTheme="minorHAnsi" w:cstheme="minorHAnsi"/>
          <w:color w:val="0000FF"/>
          <w:sz w:val="24"/>
          <w:szCs w:val="24"/>
          <w:u w:val="single"/>
        </w:rPr>
        <w:t>Norad</w:t>
      </w:r>
      <w:proofErr w:type="spellEnd"/>
      <w:r w:rsidR="00591758" w:rsidRPr="00D34646">
        <w:rPr>
          <w:rFonts w:asciiTheme="minorHAnsi" w:hAnsiTheme="minorHAnsi" w:cstheme="minorHAnsi"/>
        </w:rPr>
        <w:fldChar w:fldCharType="end"/>
      </w:r>
      <w:r w:rsidR="00591758" w:rsidRPr="00D34646">
        <w:rPr>
          <w:rFonts w:asciiTheme="minorHAnsi" w:hAnsiTheme="minorHAnsi" w:cstheme="minorHAnsi"/>
          <w:sz w:val="24"/>
          <w:szCs w:val="24"/>
        </w:rPr>
        <w:t>) та Швеції (</w:t>
      </w:r>
      <w:proofErr w:type="spellStart"/>
      <w:r w:rsidR="00591758" w:rsidRPr="00D34646">
        <w:rPr>
          <w:rFonts w:asciiTheme="minorHAnsi" w:hAnsiTheme="minorHAnsi" w:cstheme="minorHAnsi"/>
        </w:rPr>
        <w:fldChar w:fldCharType="begin"/>
      </w:r>
      <w:r w:rsidR="00591758" w:rsidRPr="00D34646">
        <w:rPr>
          <w:rFonts w:asciiTheme="minorHAnsi" w:hAnsiTheme="minorHAnsi" w:cstheme="minorHAnsi"/>
        </w:rPr>
        <w:instrText>HYPERLINK "https://www.sida.se/en" \h</w:instrText>
      </w:r>
      <w:r w:rsidR="00591758" w:rsidRPr="00D34646">
        <w:rPr>
          <w:rFonts w:asciiTheme="minorHAnsi" w:hAnsiTheme="minorHAnsi" w:cstheme="minorHAnsi"/>
        </w:rPr>
        <w:fldChar w:fldCharType="separate"/>
      </w:r>
      <w:r w:rsidR="00591758" w:rsidRPr="00D34646">
        <w:rPr>
          <w:rFonts w:asciiTheme="minorHAnsi" w:hAnsiTheme="minorHAnsi" w:cstheme="minorHAnsi"/>
          <w:color w:val="0000FF"/>
          <w:sz w:val="24"/>
          <w:szCs w:val="24"/>
          <w:u w:val="single"/>
        </w:rPr>
        <w:t>Sida</w:t>
      </w:r>
      <w:proofErr w:type="spellEnd"/>
      <w:r w:rsidR="00591758" w:rsidRPr="00D34646">
        <w:rPr>
          <w:rFonts w:asciiTheme="minorHAnsi" w:hAnsiTheme="minorHAnsi" w:cstheme="minorHAnsi"/>
        </w:rPr>
        <w:fldChar w:fldCharType="end"/>
      </w:r>
      <w:r w:rsidR="00591758" w:rsidRPr="00D34646">
        <w:rPr>
          <w:rFonts w:asciiTheme="minorHAnsi" w:hAnsiTheme="minorHAnsi" w:cstheme="minorHAnsi"/>
          <w:sz w:val="24"/>
          <w:szCs w:val="24"/>
        </w:rPr>
        <w:t xml:space="preserve">)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впроваджують</w:t>
      </w:r>
      <w:r w:rsidR="00591758" w:rsidRPr="00D34646">
        <w:rPr>
          <w:rFonts w:asciiTheme="minorHAnsi" w:hAnsiTheme="minorHAnsi" w:cstheme="minorHAnsi"/>
          <w:sz w:val="24"/>
          <w:szCs w:val="24"/>
        </w:rPr>
        <w:t xml:space="preserve"> трирічний </w:t>
      </w:r>
      <w:proofErr w:type="spellStart"/>
      <w:r w:rsidR="00591758" w:rsidRPr="00D34646">
        <w:rPr>
          <w:rFonts w:asciiTheme="minorHAnsi" w:hAnsiTheme="minorHAnsi" w:cstheme="minorHAnsi"/>
          <w:sz w:val="24"/>
          <w:szCs w:val="24"/>
        </w:rPr>
        <w:t>проєкт</w:t>
      </w:r>
      <w:proofErr w:type="spellEnd"/>
      <w:r w:rsidR="00591758" w:rsidRPr="00D34646">
        <w:rPr>
          <w:rFonts w:asciiTheme="minorHAnsi" w:hAnsiTheme="minorHAnsi" w:cstheme="minorHAnsi"/>
          <w:sz w:val="24"/>
          <w:szCs w:val="24"/>
        </w:rPr>
        <w:t xml:space="preserve"> «Розширення можливостей громадянського суспільства для стійкості та відновлення України» (</w:t>
      </w:r>
      <w:hyperlink r:id="rId10">
        <w:r w:rsidR="00591758" w:rsidRPr="00D34646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Проєкт Імпульс</w:t>
        </w:r>
      </w:hyperlink>
      <w:r w:rsidR="00591758" w:rsidRPr="00D34646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65294A82" w14:textId="09CCB760" w:rsidR="00675627" w:rsidRPr="00D34646" w:rsidRDefault="00591758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Мета проєкту «Імпульс» — </w:t>
      </w:r>
      <w:r w:rsidR="00675627" w:rsidRPr="00D34646">
        <w:rPr>
          <w:rFonts w:asciiTheme="minorHAnsi" w:hAnsiTheme="minorHAnsi" w:cstheme="minorHAnsi"/>
        </w:rPr>
        <w:t xml:space="preserve">підвищити </w:t>
      </w:r>
      <w:r w:rsidR="00675627" w:rsidRPr="00D34646">
        <w:rPr>
          <w:rFonts w:asciiTheme="minorHAnsi" w:hAnsiTheme="minorHAnsi" w:cstheme="minorHAnsi"/>
          <w:lang w:val="uk-UA"/>
        </w:rPr>
        <w:t>спроможність</w:t>
      </w:r>
      <w:r w:rsidR="00675627" w:rsidRPr="00D34646">
        <w:rPr>
          <w:rFonts w:asciiTheme="minorHAnsi" w:hAnsiTheme="minorHAnsi" w:cstheme="minorHAnsi"/>
        </w:rPr>
        <w:t xml:space="preserve"> українських організацій громадянського суспільства (ОГС) встановлювати та досягати цілі розвитку, які сприятимуть ранньому відновленню та реформам демократичного врядування в Україні. Діяльність спрямована на вирішення проблем, з якими стикаються ОГС, включаючи брак ресурсів, навичок, залучення, видимості та </w:t>
      </w:r>
      <w:proofErr w:type="spellStart"/>
      <w:r w:rsidR="00675627" w:rsidRPr="00D34646">
        <w:rPr>
          <w:rFonts w:asciiTheme="minorHAnsi" w:hAnsiTheme="minorHAnsi" w:cstheme="minorHAnsi"/>
        </w:rPr>
        <w:t>мережування</w:t>
      </w:r>
      <w:proofErr w:type="spellEnd"/>
      <w:r w:rsidR="00675627" w:rsidRPr="00D34646">
        <w:rPr>
          <w:rFonts w:asciiTheme="minorHAnsi" w:hAnsiTheme="minorHAnsi" w:cstheme="minorHAnsi"/>
        </w:rPr>
        <w:t xml:space="preserve">. Проєкт посилить </w:t>
      </w:r>
      <w:r w:rsidR="00675627" w:rsidRPr="00D34646">
        <w:rPr>
          <w:rFonts w:asciiTheme="minorHAnsi" w:hAnsiTheme="minorHAnsi" w:cstheme="minorHAnsi"/>
          <w:lang w:val="uk-UA"/>
        </w:rPr>
        <w:t>потенціал</w:t>
      </w:r>
      <w:r w:rsidR="00675627" w:rsidRPr="00D34646">
        <w:rPr>
          <w:rFonts w:asciiTheme="minorHAnsi" w:hAnsiTheme="minorHAnsi" w:cstheme="minorHAnsi"/>
        </w:rPr>
        <w:t xml:space="preserve"> громадянського суспільства та покращить його позиції для захисту України як стійкої та інклюзивної європейської демократії, що допоможе їй відновитися від величезної шкоди, завданої російською війною</w:t>
      </w:r>
      <w:r w:rsidR="00675627" w:rsidRPr="00D34646">
        <w:rPr>
          <w:rFonts w:asciiTheme="minorHAnsi" w:hAnsiTheme="minorHAnsi" w:cstheme="minorHAnsi"/>
          <w:lang w:val="uk-UA"/>
        </w:rPr>
        <w:t>.</w:t>
      </w:r>
    </w:p>
    <w:p w14:paraId="201DBFFD" w14:textId="5BA22744" w:rsidR="004E7CF1" w:rsidRPr="00D34646" w:rsidRDefault="00F64121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Географія проєкту: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Дніпро / </w:t>
      </w:r>
      <w:r w:rsidRPr="00D34646">
        <w:rPr>
          <w:rFonts w:asciiTheme="minorHAnsi" w:hAnsiTheme="minorHAnsi" w:cstheme="minorHAnsi"/>
          <w:sz w:val="24"/>
          <w:szCs w:val="24"/>
        </w:rPr>
        <w:t>Дніпро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петровська</w:t>
      </w:r>
      <w:r w:rsidRPr="00D34646">
        <w:rPr>
          <w:rFonts w:asciiTheme="minorHAnsi" w:hAnsiTheme="minorHAnsi" w:cstheme="minorHAnsi"/>
          <w:sz w:val="24"/>
          <w:szCs w:val="24"/>
        </w:rPr>
        <w:t xml:space="preserve">, Донецька, </w:t>
      </w:r>
      <w:r w:rsidR="00675627" w:rsidRPr="00D34646">
        <w:rPr>
          <w:rFonts w:asciiTheme="minorHAnsi" w:hAnsiTheme="minorHAnsi" w:cstheme="minorHAnsi"/>
          <w:sz w:val="24"/>
          <w:szCs w:val="24"/>
        </w:rPr>
        <w:t>Житомирська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,</w:t>
      </w:r>
      <w:r w:rsidR="00675627" w:rsidRPr="00D34646">
        <w:rPr>
          <w:rFonts w:asciiTheme="minorHAnsi" w:hAnsiTheme="minorHAnsi" w:cstheme="minorHAnsi"/>
          <w:sz w:val="24"/>
          <w:szCs w:val="24"/>
        </w:rPr>
        <w:t xml:space="preserve"> Запорізька, </w:t>
      </w:r>
      <w:r w:rsidRPr="00D34646">
        <w:rPr>
          <w:rFonts w:asciiTheme="minorHAnsi" w:hAnsiTheme="minorHAnsi" w:cstheme="minorHAnsi"/>
          <w:sz w:val="24"/>
          <w:szCs w:val="24"/>
        </w:rPr>
        <w:t xml:space="preserve">Київська, Луганська, Миколаївська, Одеська, Сумська, </w:t>
      </w:r>
      <w:r w:rsidR="00675627" w:rsidRPr="00D34646">
        <w:rPr>
          <w:rFonts w:asciiTheme="minorHAnsi" w:hAnsiTheme="minorHAnsi" w:cstheme="minorHAnsi"/>
          <w:sz w:val="24"/>
          <w:szCs w:val="24"/>
        </w:rPr>
        <w:t>Харківська, Херсонська,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75627" w:rsidRPr="00D34646">
        <w:rPr>
          <w:rFonts w:asciiTheme="minorHAnsi" w:hAnsiTheme="minorHAnsi" w:cstheme="minorHAnsi"/>
          <w:sz w:val="24"/>
          <w:szCs w:val="24"/>
        </w:rPr>
        <w:t>Чернігівська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області</w:t>
      </w:r>
      <w:r w:rsidRPr="00D34646">
        <w:rPr>
          <w:rFonts w:asciiTheme="minorHAnsi" w:hAnsiTheme="minorHAnsi" w:cstheme="minorHAnsi"/>
          <w:sz w:val="24"/>
          <w:szCs w:val="24"/>
        </w:rPr>
        <w:t xml:space="preserve">.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ОГС</w:t>
      </w:r>
      <w:r w:rsidRPr="00D34646">
        <w:rPr>
          <w:rFonts w:asciiTheme="minorHAnsi" w:hAnsiTheme="minorHAnsi" w:cstheme="minorHAnsi"/>
          <w:sz w:val="24"/>
          <w:szCs w:val="24"/>
        </w:rPr>
        <w:t xml:space="preserve">,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що </w:t>
      </w:r>
      <w:r w:rsidRPr="00D34646">
        <w:rPr>
          <w:rFonts w:asciiTheme="minorHAnsi" w:hAnsiTheme="minorHAnsi" w:cstheme="minorHAnsi"/>
          <w:sz w:val="24"/>
          <w:szCs w:val="24"/>
        </w:rPr>
        <w:t xml:space="preserve">зареєстровані в Києві, можуть брати участь, якщо працюють у громадах вищезазначених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областей</w:t>
      </w:r>
      <w:r w:rsidRPr="00D34646">
        <w:rPr>
          <w:rFonts w:asciiTheme="minorHAnsi" w:hAnsiTheme="minorHAnsi" w:cstheme="minorHAnsi"/>
          <w:sz w:val="24"/>
          <w:szCs w:val="24"/>
        </w:rPr>
        <w:t xml:space="preserve">. У 2026 році буде додано ще три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області</w:t>
      </w:r>
      <w:r w:rsidRPr="00D34646">
        <w:rPr>
          <w:rFonts w:asciiTheme="minorHAnsi" w:hAnsiTheme="minorHAnsi" w:cstheme="minorHAnsi"/>
          <w:sz w:val="24"/>
          <w:szCs w:val="24"/>
        </w:rPr>
        <w:t xml:space="preserve"> (Черкаси, Кропивницький / Кіровоград, Полтава).</w:t>
      </w:r>
    </w:p>
    <w:p w14:paraId="305B101F" w14:textId="175ED2CA" w:rsidR="004E7CF1" w:rsidRPr="00D34646" w:rsidRDefault="00591758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Період реалізації проєкту: 01 листопада 2024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року </w:t>
      </w:r>
      <w:r w:rsidRPr="00D34646">
        <w:rPr>
          <w:rFonts w:asciiTheme="minorHAnsi" w:hAnsiTheme="minorHAnsi" w:cstheme="minorHAnsi"/>
          <w:sz w:val="24"/>
          <w:szCs w:val="24"/>
        </w:rPr>
        <w:t>– 31 грудня 2027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року</w:t>
      </w:r>
      <w:r w:rsidRPr="00D3464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6321DE6" w14:textId="30E31E33" w:rsidR="004419B3" w:rsidRPr="00D34646" w:rsidRDefault="004419B3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Період, який охоплює ця оцінка: 1 листопада 2024 року – 31 грудня 2025 року.</w:t>
      </w:r>
    </w:p>
    <w:p w14:paraId="2B30CEA5" w14:textId="2286DFD4" w:rsidR="004E7CF1" w:rsidRPr="00D34646" w:rsidRDefault="00675627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sz w:val="24"/>
          <w:szCs w:val="24"/>
          <w:u w:val="single"/>
          <w:lang w:val="uk-UA"/>
        </w:rPr>
        <w:t>Дизайн</w:t>
      </w:r>
      <w:r w:rsidR="00591758" w:rsidRPr="00D346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34646">
        <w:rPr>
          <w:rFonts w:asciiTheme="minorHAnsi" w:hAnsiTheme="minorHAnsi" w:cstheme="minorHAnsi"/>
          <w:b/>
          <w:sz w:val="24"/>
          <w:szCs w:val="24"/>
          <w:u w:val="single"/>
          <w:lang w:val="uk-UA"/>
        </w:rPr>
        <w:t>П</w:t>
      </w:r>
      <w:proofErr w:type="spellStart"/>
      <w:r w:rsidR="00591758" w:rsidRPr="00D34646">
        <w:rPr>
          <w:rFonts w:asciiTheme="minorHAnsi" w:hAnsiTheme="minorHAnsi" w:cstheme="minorHAnsi"/>
          <w:b/>
          <w:sz w:val="24"/>
          <w:szCs w:val="24"/>
          <w:u w:val="single"/>
        </w:rPr>
        <w:t>роєкту</w:t>
      </w:r>
      <w:proofErr w:type="spellEnd"/>
      <w:r w:rsidR="00591758" w:rsidRPr="00D34646">
        <w:rPr>
          <w:rFonts w:asciiTheme="minorHAnsi" w:hAnsiTheme="minorHAnsi" w:cstheme="minorHAnsi"/>
          <w:b/>
          <w:sz w:val="24"/>
          <w:szCs w:val="24"/>
          <w:u w:val="single"/>
        </w:rPr>
        <w:t xml:space="preserve"> Імпульс</w:t>
      </w:r>
    </w:p>
    <w:p w14:paraId="75B69ECB" w14:textId="2FA1E420" w:rsidR="0052353A" w:rsidRPr="00D34646" w:rsidRDefault="0052353A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Мета проєкту «Імпульс» </w:t>
      </w:r>
      <w:r w:rsidRPr="00D34646">
        <w:rPr>
          <w:rFonts w:asciiTheme="minorHAnsi" w:hAnsiTheme="minorHAnsi" w:cstheme="minorHAnsi"/>
        </w:rPr>
        <w:t>— підвищити здатність українських організацій громадянського суспільства сприяти швидкому відновленню та реформам демократичного управління. Ця мета буде досягнута через три цілі: підвищення організаційного потенціалу українських громадських організацій; підвищення спроможності українських громадських організацій сприяти інклюзивному та сталому відновленню на всіх рівнях управління; а також підвищити спроможність українських громадських організацій д</w:t>
      </w:r>
      <w:r w:rsidR="00675627" w:rsidRPr="00D34646">
        <w:rPr>
          <w:rFonts w:asciiTheme="minorHAnsi" w:hAnsiTheme="minorHAnsi" w:cstheme="minorHAnsi"/>
          <w:lang w:val="uk-UA"/>
        </w:rPr>
        <w:t>о</w:t>
      </w:r>
      <w:r w:rsidRPr="00D34646">
        <w:rPr>
          <w:rFonts w:asciiTheme="minorHAnsi" w:hAnsiTheme="minorHAnsi" w:cstheme="minorHAnsi"/>
        </w:rPr>
        <w:t xml:space="preserve"> </w:t>
      </w:r>
      <w:proofErr w:type="spellStart"/>
      <w:r w:rsidRPr="00D34646">
        <w:rPr>
          <w:rFonts w:asciiTheme="minorHAnsi" w:hAnsiTheme="minorHAnsi" w:cstheme="minorHAnsi"/>
        </w:rPr>
        <w:t>адвокації</w:t>
      </w:r>
      <w:proofErr w:type="spellEnd"/>
      <w:r w:rsidRPr="00D34646">
        <w:rPr>
          <w:rFonts w:asciiTheme="minorHAnsi" w:hAnsiTheme="minorHAnsi" w:cstheme="minorHAnsi"/>
        </w:rPr>
        <w:t>, формування політик та нагляду за реформами демократичного управління.</w:t>
      </w:r>
    </w:p>
    <w:p w14:paraId="169708DB" w14:textId="07BDAE8B" w:rsidR="004E7CF1" w:rsidRPr="00D34646" w:rsidRDefault="00591758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lastRenderedPageBreak/>
        <w:t>Очікується, що наступні ключові результати будуть досягнуті через діяльність, проведену в рамках конкретних цілей:</w:t>
      </w:r>
    </w:p>
    <w:p w14:paraId="3B3B6FBB" w14:textId="2C403BBF" w:rsidR="004E7CF1" w:rsidRPr="00D34646" w:rsidRDefault="00675627" w:rsidP="0096615C">
      <w:pPr>
        <w:spacing w:before="240"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  <w:lang w:val="uk-UA"/>
        </w:rPr>
        <w:t>Ціль</w:t>
      </w:r>
      <w:r w:rsidR="00DC3E96" w:rsidRPr="00D34646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DC3E96" w:rsidRPr="00D34646">
        <w:rPr>
          <w:rFonts w:asciiTheme="minorHAnsi" w:hAnsiTheme="minorHAnsi" w:cstheme="minorHAnsi"/>
          <w:sz w:val="24"/>
          <w:szCs w:val="24"/>
        </w:rPr>
        <w:t xml:space="preserve"> – зміцнення організаційного потенціалу українських громадських організацій, що беруть участь у </w:t>
      </w:r>
      <w:r w:rsidRPr="00D34646">
        <w:rPr>
          <w:rFonts w:asciiTheme="minorHAnsi" w:hAnsiTheme="minorHAnsi" w:cstheme="minorHAnsi"/>
          <w:sz w:val="24"/>
          <w:szCs w:val="24"/>
          <w:lang w:val="uk-UA"/>
        </w:rPr>
        <w:t>П</w:t>
      </w:r>
      <w:proofErr w:type="spellStart"/>
      <w:r w:rsidR="00DC3E96" w:rsidRPr="00D34646">
        <w:rPr>
          <w:rFonts w:asciiTheme="minorHAnsi" w:hAnsiTheme="minorHAnsi" w:cstheme="minorHAnsi"/>
          <w:sz w:val="24"/>
          <w:szCs w:val="24"/>
        </w:rPr>
        <w:t>роєкті</w:t>
      </w:r>
      <w:proofErr w:type="spellEnd"/>
      <w:r w:rsidR="00DC3E96" w:rsidRPr="00D346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C3E96" w:rsidRPr="00D34646">
        <w:rPr>
          <w:rFonts w:asciiTheme="minorHAnsi" w:hAnsiTheme="minorHAnsi" w:cstheme="minorHAnsi"/>
          <w:sz w:val="24"/>
          <w:szCs w:val="24"/>
        </w:rPr>
        <w:t>Імпуль</w:t>
      </w:r>
      <w:proofErr w:type="spellEnd"/>
      <w:r w:rsidRPr="00D34646">
        <w:rPr>
          <w:rFonts w:asciiTheme="minorHAnsi" w:hAnsiTheme="minorHAnsi" w:cstheme="minorHAnsi"/>
          <w:sz w:val="24"/>
          <w:szCs w:val="24"/>
          <w:lang w:val="uk-UA"/>
        </w:rPr>
        <w:t>с</w:t>
      </w:r>
      <w:r w:rsidR="00DC3E96" w:rsidRPr="00D34646">
        <w:rPr>
          <w:rFonts w:asciiTheme="minorHAnsi" w:hAnsiTheme="minorHAnsi" w:cstheme="minorHAnsi"/>
          <w:sz w:val="24"/>
          <w:szCs w:val="24"/>
        </w:rPr>
        <w:t>.</w:t>
      </w:r>
    </w:p>
    <w:p w14:paraId="723A3F48" w14:textId="77777777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Очікувані результати:</w:t>
      </w:r>
    </w:p>
    <w:p w14:paraId="3F9AB201" w14:textId="77777777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1.1. Підвищення кваліфікації громадських громадських органів у сфері управління проєктами, лідерства та управління людськими ресурсами;</w:t>
      </w:r>
    </w:p>
    <w:p w14:paraId="2CABAC27" w14:textId="5DFBCB95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1.2. Покращення можливостей громадських організацій у сфері фінансового управління, збору коштів та диверсифікації джерел фінансування для забезпечення довгострокової фінансової стабільності/сталості організацій;</w:t>
      </w:r>
    </w:p>
    <w:p w14:paraId="50F81B33" w14:textId="77777777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1.3. Коаліції та мережі партнерських громадських організацій зміцнюються, співпрацюють у різних регіонах і з різних тем, обмінюються знаннями, навчаються один у одного, документують і поширюють найкращі практики в громадянському суспільстві.</w:t>
      </w:r>
    </w:p>
    <w:p w14:paraId="075BC373" w14:textId="77777777" w:rsidR="00DC3E96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1C53E3" w14:textId="0C79E280" w:rsidR="004E7CF1" w:rsidRPr="00D34646" w:rsidRDefault="00675627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  <w:lang w:val="uk-UA"/>
        </w:rPr>
        <w:t>Ціль</w:t>
      </w:r>
      <w:r w:rsidR="00591758" w:rsidRPr="00D34646">
        <w:rPr>
          <w:rFonts w:asciiTheme="minorHAnsi" w:hAnsiTheme="minorHAnsi" w:cstheme="minorHAnsi"/>
          <w:b/>
          <w:bCs/>
          <w:sz w:val="24"/>
          <w:szCs w:val="24"/>
        </w:rPr>
        <w:t xml:space="preserve"> 2 </w:t>
      </w:r>
      <w:r w:rsidR="00DC3E96" w:rsidRPr="00D34646">
        <w:rPr>
          <w:rFonts w:asciiTheme="minorHAnsi" w:hAnsiTheme="minorHAnsi" w:cstheme="minorHAnsi"/>
          <w:sz w:val="24"/>
          <w:szCs w:val="24"/>
        </w:rPr>
        <w:t>– зміцнити спроможність українських громадських організацій сприяти всебічному та сталому відновленню на всіх рівнях</w:t>
      </w:r>
    </w:p>
    <w:p w14:paraId="16CB0EBF" w14:textId="77777777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Очікувані результати:</w:t>
      </w:r>
    </w:p>
    <w:p w14:paraId="070182B7" w14:textId="57B13CE9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2.1. Посилено спроможність українських організацій громадянського суспільства сприяти інклюзивному та сталому відновленню на всіх рівнях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врядування</w:t>
      </w:r>
      <w:r w:rsidRPr="00D34646">
        <w:rPr>
          <w:rFonts w:asciiTheme="minorHAnsi" w:hAnsiTheme="minorHAnsi" w:cstheme="minorHAnsi"/>
          <w:sz w:val="24"/>
          <w:szCs w:val="24"/>
        </w:rPr>
        <w:t>;</w:t>
      </w:r>
    </w:p>
    <w:p w14:paraId="60006B57" w14:textId="77777777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2.2. Посилено здатність громадських організацій застосовувати гендерно-чутливі інструменти планування, бюджетування та моніторингу у зусиллях з відновлення;</w:t>
      </w:r>
    </w:p>
    <w:p w14:paraId="0B22BFAD" w14:textId="77777777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2.3. Посилення спроможності громадських організацій для розширення участі громадськості в інклюзивному, зеленому та сталому відновленні.</w:t>
      </w:r>
    </w:p>
    <w:p w14:paraId="74A65862" w14:textId="77777777" w:rsidR="00DC3E96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8E146E" w14:textId="35C1449B" w:rsidR="004E7CF1" w:rsidRPr="00D34646" w:rsidRDefault="00675627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  <w:lang w:val="uk-UA"/>
        </w:rPr>
        <w:t>Ціль</w:t>
      </w:r>
      <w:r w:rsidR="00591758" w:rsidRPr="00D34646">
        <w:rPr>
          <w:rFonts w:asciiTheme="minorHAnsi" w:hAnsiTheme="minorHAnsi" w:cstheme="minorHAnsi"/>
          <w:b/>
          <w:bCs/>
          <w:sz w:val="24"/>
          <w:szCs w:val="24"/>
        </w:rPr>
        <w:t xml:space="preserve"> 3 </w:t>
      </w:r>
      <w:r w:rsidR="00591758" w:rsidRPr="00D34646">
        <w:rPr>
          <w:rFonts w:asciiTheme="minorHAnsi" w:hAnsiTheme="minorHAnsi" w:cstheme="minorHAnsi"/>
          <w:sz w:val="24"/>
          <w:szCs w:val="24"/>
        </w:rPr>
        <w:t>– Зміцнення спроможності українських громадських організацій брати участь у адвокації, розробці політик та нагляді за реформами демократичного управління</w:t>
      </w:r>
    </w:p>
    <w:p w14:paraId="57B28053" w14:textId="77777777" w:rsidR="004E7CF1" w:rsidRPr="00D34646" w:rsidRDefault="00591758" w:rsidP="0096615C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Очікуваний результат:</w:t>
      </w:r>
    </w:p>
    <w:p w14:paraId="5DE800FC" w14:textId="348B6CFB" w:rsidR="0052353A" w:rsidRPr="00D34646" w:rsidRDefault="00591758" w:rsidP="0052353A">
      <w:pPr>
        <w:spacing w:after="0" w:line="276" w:lineRule="auto"/>
        <w:ind w:left="360"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3.1. Покращено можливості громадських громадських організацій у дослідженнях, комунікації, аналізі уроків та звіт</w:t>
      </w:r>
      <w:proofErr w:type="spellStart"/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уванні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>.</w:t>
      </w:r>
    </w:p>
    <w:p w14:paraId="03C68733" w14:textId="0BEBB2A2" w:rsidR="0052353A" w:rsidRPr="00D34646" w:rsidRDefault="0052353A" w:rsidP="0052353A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Ключові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види діяльності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П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роєкту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Імпульс: програма грантів для українських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ОГС</w:t>
      </w:r>
      <w:r w:rsidRPr="00D34646">
        <w:rPr>
          <w:rFonts w:asciiTheme="minorHAnsi" w:hAnsiTheme="minorHAnsi" w:cstheme="minorHAnsi"/>
          <w:sz w:val="24"/>
          <w:szCs w:val="24"/>
        </w:rPr>
        <w:t xml:space="preserve">, включно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з </w:t>
      </w:r>
      <w:hyperlink r:id="rId11" w:history="1">
        <w:r w:rsidR="00675627" w:rsidRPr="00D34646">
          <w:rPr>
            <w:rStyle w:val="Hyperlink"/>
            <w:rFonts w:asciiTheme="minorHAnsi" w:hAnsiTheme="minorHAnsi" w:cstheme="minorHAnsi"/>
            <w:sz w:val="24"/>
            <w:szCs w:val="24"/>
            <w:lang w:val="uk-UA"/>
          </w:rPr>
          <w:t>Програмою грантів інституційного розвитку</w:t>
        </w:r>
      </w:hyperlink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D34646">
        <w:rPr>
          <w:rFonts w:asciiTheme="minorHAnsi" w:hAnsiTheme="minorHAnsi" w:cstheme="minorHAnsi"/>
          <w:sz w:val="24"/>
          <w:szCs w:val="24"/>
        </w:rPr>
        <w:t>та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hyperlink r:id="rId12" w:history="1">
        <w:r w:rsidR="00675627" w:rsidRPr="00D34646">
          <w:rPr>
            <w:rStyle w:val="Hyperlink"/>
            <w:rFonts w:asciiTheme="minorHAnsi" w:hAnsiTheme="minorHAnsi" w:cstheme="minorHAnsi"/>
            <w:sz w:val="24"/>
            <w:szCs w:val="24"/>
            <w:lang w:val="uk-UA"/>
          </w:rPr>
          <w:t>Програмою малих грантів</w:t>
        </w:r>
      </w:hyperlink>
      <w:r w:rsidR="00675627" w:rsidRPr="00D34646">
        <w:rPr>
          <w:rFonts w:asciiTheme="minorHAnsi" w:hAnsiTheme="minorHAnsi" w:cstheme="minorHAnsi"/>
          <w:lang w:val="uk-UA"/>
        </w:rPr>
        <w:t>;</w:t>
      </w:r>
      <w:hyperlink r:id="rId13">
        <w:r w:rsidRPr="00D34646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D34646">
        <w:rPr>
          <w:rFonts w:asciiTheme="minorHAnsi" w:hAnsiTheme="minorHAnsi" w:cstheme="minorHAnsi"/>
          <w:sz w:val="24"/>
          <w:szCs w:val="24"/>
        </w:rPr>
        <w:t xml:space="preserve">багатотематична програма розвитку організаційного потенціалу для партнерських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ОГС</w:t>
      </w:r>
      <w:r w:rsidRPr="00D34646">
        <w:rPr>
          <w:rFonts w:asciiTheme="minorHAnsi" w:hAnsiTheme="minorHAnsi" w:cstheme="minorHAnsi"/>
          <w:sz w:val="24"/>
          <w:szCs w:val="24"/>
        </w:rPr>
        <w:t xml:space="preserve">; програма стажування в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ОГС</w:t>
      </w:r>
      <w:r w:rsidRPr="00D34646">
        <w:rPr>
          <w:rFonts w:asciiTheme="minorHAnsi" w:hAnsiTheme="minorHAnsi" w:cstheme="minorHAnsi"/>
          <w:sz w:val="24"/>
          <w:szCs w:val="24"/>
        </w:rPr>
        <w:t xml:space="preserve">; налагодження мереж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ОГС</w:t>
      </w:r>
      <w:r w:rsidRPr="00D34646">
        <w:rPr>
          <w:rFonts w:asciiTheme="minorHAnsi" w:hAnsiTheme="minorHAnsi" w:cstheme="minorHAnsi"/>
          <w:sz w:val="24"/>
          <w:szCs w:val="24"/>
        </w:rPr>
        <w:t>; комунікація, дослідження стійкості громадянського суспільства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;</w:t>
      </w:r>
      <w:r w:rsidRPr="00D34646">
        <w:rPr>
          <w:rFonts w:asciiTheme="minorHAnsi" w:hAnsiTheme="minorHAnsi" w:cstheme="minorHAnsi"/>
          <w:sz w:val="24"/>
          <w:szCs w:val="24"/>
        </w:rPr>
        <w:t xml:space="preserve"> внесок громадянського суспільства у раннє відновлення України з акцентом на громади та</w:t>
      </w:r>
      <w:hyperlink r:id="rId14">
        <w:r w:rsidRPr="00D34646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5">
        <w:r w:rsidRPr="00D34646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стійкість</w:t>
        </w:r>
      </w:hyperlink>
      <w:r w:rsidRPr="00D34646">
        <w:rPr>
          <w:rFonts w:asciiTheme="minorHAnsi" w:hAnsiTheme="minorHAnsi" w:cstheme="minorHAnsi"/>
          <w:sz w:val="24"/>
          <w:szCs w:val="24"/>
        </w:rPr>
        <w:t xml:space="preserve"> суспільства.</w:t>
      </w:r>
    </w:p>
    <w:p w14:paraId="136EDFBE" w14:textId="30F3598A" w:rsidR="004E7CF1" w:rsidRPr="00D34646" w:rsidRDefault="00591758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sz w:val="24"/>
          <w:szCs w:val="24"/>
          <w:u w:val="single"/>
        </w:rPr>
        <w:t>Мета та обсяг оцінювання</w:t>
      </w:r>
    </w:p>
    <w:p w14:paraId="39CB9947" w14:textId="3CB1A671" w:rsidR="00675627" w:rsidRPr="00D34646" w:rsidRDefault="00EC769C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Мета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даного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оцін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ювання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— оцінити прогрес порівняно з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очікуваними </w:t>
      </w:r>
      <w:r w:rsidRPr="00D34646">
        <w:rPr>
          <w:rFonts w:asciiTheme="minorHAnsi" w:hAnsiTheme="minorHAnsi" w:cstheme="minorHAnsi"/>
          <w:sz w:val="24"/>
          <w:szCs w:val="24"/>
        </w:rPr>
        <w:t xml:space="preserve">результатами </w:t>
      </w:r>
      <w:proofErr w:type="spellStart"/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Проєкта</w:t>
      </w:r>
      <w:proofErr w:type="spellEnd"/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Імпульс</w:t>
      </w:r>
      <w:r w:rsidRPr="00D34646">
        <w:rPr>
          <w:rFonts w:asciiTheme="minorHAnsi" w:hAnsiTheme="minorHAnsi" w:cstheme="minorHAnsi"/>
          <w:sz w:val="24"/>
          <w:szCs w:val="24"/>
        </w:rPr>
        <w:t xml:space="preserve">,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визначити </w:t>
      </w:r>
      <w:r w:rsidRPr="00D34646">
        <w:rPr>
          <w:rFonts w:asciiTheme="minorHAnsi" w:hAnsiTheme="minorHAnsi" w:cstheme="minorHAnsi"/>
          <w:sz w:val="24"/>
          <w:szCs w:val="24"/>
        </w:rPr>
        <w:t xml:space="preserve">наскільки самі конкретні цілі залишаються актуальними, а також надати практичні рекомендації для 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подальшого </w:t>
      </w:r>
      <w:r w:rsidRPr="00D34646">
        <w:rPr>
          <w:rFonts w:asciiTheme="minorHAnsi" w:hAnsiTheme="minorHAnsi" w:cstheme="minorHAnsi"/>
          <w:sz w:val="24"/>
          <w:szCs w:val="24"/>
        </w:rPr>
        <w:t>впровадження</w:t>
      </w:r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>Проєкта</w:t>
      </w:r>
      <w:proofErr w:type="spellEnd"/>
      <w:r w:rsidR="00675627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Імпульс</w:t>
      </w:r>
      <w:r w:rsidRPr="00D34646">
        <w:rPr>
          <w:rFonts w:asciiTheme="minorHAnsi" w:hAnsiTheme="minorHAnsi" w:cstheme="minorHAnsi"/>
          <w:sz w:val="24"/>
          <w:szCs w:val="24"/>
        </w:rPr>
        <w:t xml:space="preserve">. </w:t>
      </w:r>
      <w:r w:rsidR="00675627" w:rsidRPr="00D34646">
        <w:rPr>
          <w:rFonts w:asciiTheme="minorHAnsi" w:hAnsiTheme="minorHAnsi" w:cstheme="minorHAnsi"/>
        </w:rPr>
        <w:t>Очікується, що оці</w:t>
      </w:r>
      <w:proofErr w:type="spellStart"/>
      <w:r w:rsidR="00153D7C" w:rsidRPr="00D34646">
        <w:rPr>
          <w:rFonts w:asciiTheme="minorHAnsi" w:hAnsiTheme="minorHAnsi" w:cstheme="minorHAnsi"/>
          <w:lang w:val="uk-UA"/>
        </w:rPr>
        <w:t>ювання</w:t>
      </w:r>
      <w:proofErr w:type="spellEnd"/>
      <w:r w:rsidR="00675627" w:rsidRPr="00D34646">
        <w:rPr>
          <w:rFonts w:asciiTheme="minorHAnsi" w:hAnsiTheme="minorHAnsi" w:cstheme="minorHAnsi"/>
        </w:rPr>
        <w:t xml:space="preserve"> </w:t>
      </w:r>
      <w:proofErr w:type="spellStart"/>
      <w:r w:rsidR="00675627" w:rsidRPr="00D34646">
        <w:rPr>
          <w:rFonts w:asciiTheme="minorHAnsi" w:hAnsiTheme="minorHAnsi" w:cstheme="minorHAnsi"/>
        </w:rPr>
        <w:t>надасть</w:t>
      </w:r>
      <w:proofErr w:type="spellEnd"/>
      <w:r w:rsidR="00675627" w:rsidRPr="00D34646">
        <w:rPr>
          <w:rFonts w:asciiTheme="minorHAnsi" w:hAnsiTheme="minorHAnsi" w:cstheme="minorHAnsi"/>
        </w:rPr>
        <w:t xml:space="preserve"> можливість визначити та проаналізувати отримані </w:t>
      </w:r>
      <w:proofErr w:type="spellStart"/>
      <w:r w:rsidR="00675627" w:rsidRPr="00D34646">
        <w:rPr>
          <w:rFonts w:asciiTheme="minorHAnsi" w:hAnsiTheme="minorHAnsi" w:cstheme="minorHAnsi"/>
        </w:rPr>
        <w:t>уроки</w:t>
      </w:r>
      <w:proofErr w:type="spellEnd"/>
      <w:r w:rsidR="00675627" w:rsidRPr="00D34646">
        <w:rPr>
          <w:rFonts w:asciiTheme="minorHAnsi" w:hAnsiTheme="minorHAnsi" w:cstheme="minorHAnsi"/>
        </w:rPr>
        <w:t xml:space="preserve"> та </w:t>
      </w:r>
      <w:proofErr w:type="spellStart"/>
      <w:r w:rsidR="00675627" w:rsidRPr="00D34646">
        <w:rPr>
          <w:rFonts w:asciiTheme="minorHAnsi" w:hAnsiTheme="minorHAnsi" w:cstheme="minorHAnsi"/>
        </w:rPr>
        <w:t>скор</w:t>
      </w:r>
      <w:proofErr w:type="spellEnd"/>
      <w:r w:rsidR="00675627" w:rsidRPr="00D34646">
        <w:rPr>
          <w:rFonts w:asciiTheme="minorHAnsi" w:hAnsiTheme="minorHAnsi" w:cstheme="minorHAnsi"/>
          <w:lang w:val="uk-UA"/>
        </w:rPr>
        <w:t>и</w:t>
      </w:r>
      <w:proofErr w:type="spellStart"/>
      <w:r w:rsidR="00675627" w:rsidRPr="00D34646">
        <w:rPr>
          <w:rFonts w:asciiTheme="minorHAnsi" w:hAnsiTheme="minorHAnsi" w:cstheme="minorHAnsi"/>
        </w:rPr>
        <w:t>гувати</w:t>
      </w:r>
      <w:proofErr w:type="spellEnd"/>
      <w:r w:rsidR="00675627" w:rsidRPr="00D34646">
        <w:rPr>
          <w:rFonts w:asciiTheme="minorHAnsi" w:hAnsiTheme="minorHAnsi" w:cstheme="minorHAnsi"/>
        </w:rPr>
        <w:t xml:space="preserve"> у разі необхідності діяльність на наступний період впровадження Проєкт</w:t>
      </w:r>
      <w:r w:rsidR="00153D7C" w:rsidRPr="00D34646">
        <w:rPr>
          <w:rFonts w:asciiTheme="minorHAnsi" w:hAnsiTheme="minorHAnsi" w:cstheme="minorHAnsi"/>
          <w:lang w:val="uk-UA"/>
        </w:rPr>
        <w:t>а</w:t>
      </w:r>
      <w:r w:rsidR="00675627" w:rsidRPr="00D34646">
        <w:rPr>
          <w:rFonts w:asciiTheme="minorHAnsi" w:hAnsiTheme="minorHAnsi" w:cstheme="minorHAnsi"/>
        </w:rPr>
        <w:t>.</w:t>
      </w:r>
    </w:p>
    <w:p w14:paraId="75AA1647" w14:textId="3813785C" w:rsidR="005C075C" w:rsidRPr="00D34646" w:rsidRDefault="00591758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lastRenderedPageBreak/>
        <w:t xml:space="preserve">Ця незалежна проміжна оцінка процесу впровадження </w:t>
      </w:r>
      <w:proofErr w:type="spellStart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Проєкта</w:t>
      </w:r>
      <w:proofErr w:type="spellEnd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D34646">
        <w:rPr>
          <w:rFonts w:asciiTheme="minorHAnsi" w:hAnsiTheme="minorHAnsi" w:cstheme="minorHAnsi"/>
          <w:sz w:val="24"/>
          <w:szCs w:val="24"/>
        </w:rPr>
        <w:t xml:space="preserve">Імпульс 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має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охопит</w:t>
      </w:r>
      <w:proofErr w:type="spellEnd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и</w:t>
      </w:r>
      <w:r w:rsidRPr="00D34646">
        <w:rPr>
          <w:rFonts w:asciiTheme="minorHAnsi" w:hAnsiTheme="minorHAnsi" w:cstheme="minorHAnsi"/>
          <w:sz w:val="24"/>
          <w:szCs w:val="24"/>
        </w:rPr>
        <w:t xml:space="preserve"> усі поточні та завершені 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діяльності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у</w:t>
      </w:r>
      <w:r w:rsidRPr="00D34646">
        <w:rPr>
          <w:rFonts w:asciiTheme="minorHAnsi" w:hAnsiTheme="minorHAnsi" w:cstheme="minorHAnsi"/>
          <w:sz w:val="24"/>
          <w:szCs w:val="24"/>
        </w:rPr>
        <w:t xml:space="preserve"> межах 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П</w:t>
      </w:r>
      <w:r w:rsidRPr="00D34646">
        <w:rPr>
          <w:rFonts w:asciiTheme="minorHAnsi" w:hAnsiTheme="minorHAnsi" w:cstheme="minorHAnsi"/>
          <w:sz w:val="24"/>
          <w:szCs w:val="24"/>
        </w:rPr>
        <w:t xml:space="preserve">роєкту з 1 листопада 2024 року по 31 грудня 2025 року, включно з реалізацією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проєктів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грантоотримувач</w:t>
      </w:r>
      <w:proofErr w:type="spellEnd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а</w:t>
      </w:r>
      <w:r w:rsidRPr="00D34646">
        <w:rPr>
          <w:rFonts w:asciiTheme="minorHAnsi" w:hAnsiTheme="minorHAnsi" w:cstheme="minorHAnsi"/>
          <w:sz w:val="24"/>
          <w:szCs w:val="24"/>
        </w:rPr>
        <w:t xml:space="preserve">ми. Відбір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субгрант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ів</w:t>
      </w:r>
      <w:proofErr w:type="spellEnd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D34646">
        <w:rPr>
          <w:rFonts w:asciiTheme="minorHAnsi" w:hAnsiTheme="minorHAnsi" w:cstheme="minorHAnsi"/>
          <w:sz w:val="24"/>
          <w:szCs w:val="24"/>
        </w:rPr>
        <w:t xml:space="preserve">для оцінки здійснюватиме 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О</w:t>
      </w:r>
      <w:r w:rsidRPr="00D34646">
        <w:rPr>
          <w:rFonts w:asciiTheme="minorHAnsi" w:hAnsiTheme="minorHAnsi" w:cstheme="minorHAnsi"/>
          <w:sz w:val="24"/>
          <w:szCs w:val="24"/>
        </w:rPr>
        <w:t xml:space="preserve">цінювач на основі списку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Програми інституційних грантів (вибірка з 9-10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(25-30% когорти),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включ</w:t>
      </w:r>
      <w:proofErr w:type="spellEnd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но з </w:t>
      </w:r>
      <w:r w:rsidRPr="00D34646">
        <w:rPr>
          <w:rFonts w:asciiTheme="minorHAnsi" w:hAnsiTheme="minorHAnsi" w:cstheme="minorHAnsi"/>
          <w:sz w:val="24"/>
          <w:szCs w:val="24"/>
        </w:rPr>
        <w:t xml:space="preserve">щонайменше 3 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ОГС</w:t>
      </w:r>
      <w:r w:rsidRPr="00D34646">
        <w:rPr>
          <w:rFonts w:asciiTheme="minorHAnsi" w:hAnsiTheme="minorHAnsi" w:cstheme="minorHAnsi"/>
          <w:sz w:val="24"/>
          <w:szCs w:val="24"/>
        </w:rPr>
        <w:t xml:space="preserve">, що представляють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кож</w:t>
      </w:r>
      <w:proofErr w:type="spellEnd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ну підгрупу </w:t>
      </w:r>
      <w:r w:rsidRPr="00D34646">
        <w:rPr>
          <w:rFonts w:asciiTheme="minorHAnsi" w:hAnsiTheme="minorHAnsi" w:cstheme="minorHAnsi"/>
          <w:sz w:val="24"/>
          <w:szCs w:val="24"/>
        </w:rPr>
        <w:t xml:space="preserve">(аналітичні центри, хаби та 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організації</w:t>
      </w:r>
      <w:r w:rsidRPr="00D34646">
        <w:rPr>
          <w:rFonts w:asciiTheme="minorHAnsi" w:hAnsiTheme="minorHAnsi" w:cstheme="minorHAnsi"/>
          <w:sz w:val="24"/>
          <w:szCs w:val="24"/>
        </w:rPr>
        <w:t>, що працюють над відновленням), а також Програм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и</w:t>
      </w:r>
      <w:r w:rsidRPr="00D34646">
        <w:rPr>
          <w:rFonts w:asciiTheme="minorHAnsi" w:hAnsiTheme="minorHAnsi" w:cstheme="minorHAnsi"/>
          <w:sz w:val="24"/>
          <w:szCs w:val="24"/>
        </w:rPr>
        <w:t xml:space="preserve"> малих грантів (6 обраних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субгрантів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надаих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у першій хвилі). Вибірка включатиме різноманіття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, обраних за тематичною спрямованістю (демократична участь, підтримка ветеранів, довкілля тощо), зрілістю (рік заснування) та забезпеченням географічного представництва щонайменше 8 регіонів проєкту. Оцінювач 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має описати підхід до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відб</w:t>
      </w:r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ору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53D7C" w:rsidRPr="00D34646">
        <w:rPr>
          <w:rFonts w:asciiTheme="minorHAnsi" w:hAnsiTheme="minorHAnsi" w:cstheme="minorHAnsi"/>
          <w:sz w:val="24"/>
          <w:szCs w:val="24"/>
          <w:lang w:val="uk-UA"/>
        </w:rPr>
        <w:t>гранто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отримувачів у запропонованій методології. </w:t>
      </w:r>
    </w:p>
    <w:p w14:paraId="2878B8F4" w14:textId="38ED10DD" w:rsidR="004E7CF1" w:rsidRPr="00D34646" w:rsidRDefault="0062361F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  <w:u w:val="single"/>
        </w:rPr>
        <w:t>Питання</w:t>
      </w:r>
      <w:r w:rsidR="00153D7C" w:rsidRPr="00D34646">
        <w:rPr>
          <w:rFonts w:asciiTheme="minorHAnsi" w:hAnsiTheme="minorHAnsi" w:cstheme="minorHAnsi"/>
          <w:b/>
          <w:bCs/>
          <w:sz w:val="24"/>
          <w:szCs w:val="24"/>
          <w:u w:val="single"/>
          <w:lang w:val="uk-UA"/>
        </w:rPr>
        <w:t xml:space="preserve"> для </w:t>
      </w:r>
      <w:proofErr w:type="spellStart"/>
      <w:r w:rsidRPr="00D34646">
        <w:rPr>
          <w:rFonts w:asciiTheme="minorHAnsi" w:hAnsiTheme="minorHAnsi" w:cstheme="minorHAnsi"/>
          <w:b/>
          <w:bCs/>
          <w:sz w:val="24"/>
          <w:szCs w:val="24"/>
          <w:u w:val="single"/>
        </w:rPr>
        <w:t>розгля</w:t>
      </w:r>
      <w:r w:rsidR="00153D7C" w:rsidRPr="00D34646">
        <w:rPr>
          <w:rFonts w:asciiTheme="minorHAnsi" w:hAnsiTheme="minorHAnsi" w:cstheme="minorHAnsi"/>
          <w:b/>
          <w:bCs/>
          <w:sz w:val="24"/>
          <w:szCs w:val="24"/>
          <w:u w:val="single"/>
          <w:lang w:val="uk-UA"/>
        </w:rPr>
        <w:t>ду</w:t>
      </w:r>
      <w:proofErr w:type="spellEnd"/>
      <w:r w:rsidRPr="00D3464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153D7C" w:rsidRPr="00D34646">
        <w:rPr>
          <w:rFonts w:asciiTheme="minorHAnsi" w:hAnsiTheme="minorHAnsi" w:cstheme="minorHAnsi"/>
          <w:b/>
          <w:bCs/>
          <w:sz w:val="24"/>
          <w:szCs w:val="24"/>
          <w:u w:val="single"/>
          <w:lang w:val="uk-UA"/>
        </w:rPr>
        <w:t>в ході</w:t>
      </w:r>
      <w:r w:rsidRPr="00D3464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оцінювання</w:t>
      </w:r>
      <w:r w:rsidR="00591758" w:rsidRPr="00D3464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A5C3BBD" w14:textId="77777777" w:rsidR="004E7CF1" w:rsidRPr="00D34646" w:rsidRDefault="00591758" w:rsidP="0096615C">
      <w:pPr>
        <w:numPr>
          <w:ilvl w:val="0"/>
          <w:numId w:val="3"/>
        </w:numP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</w:rPr>
        <w:t>Актуальність:</w:t>
      </w:r>
    </w:p>
    <w:p w14:paraId="7F6C85FE" w14:textId="79ACB05E" w:rsidR="004E7CF1" w:rsidRPr="00D34646" w:rsidRDefault="00591758" w:rsidP="0096615C">
      <w:pPr>
        <w:pStyle w:val="ListParagraph"/>
        <w:numPr>
          <w:ilvl w:val="0"/>
          <w:numId w:val="7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>Наскільки цілі Проєкту залишаються актуальними на момент оцінки?</w:t>
      </w:r>
    </w:p>
    <w:p w14:paraId="015D544B" w14:textId="77777777" w:rsidR="004E7CF1" w:rsidRPr="00D34646" w:rsidRDefault="00591758" w:rsidP="0096615C">
      <w:pPr>
        <w:pStyle w:val="ListParagraph"/>
        <w:numPr>
          <w:ilvl w:val="0"/>
          <w:numId w:val="7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>Наскільки заплановані та реалізовані заходи сприяють вирішенню існуючих проблем цільових груп?</w:t>
      </w:r>
    </w:p>
    <w:p w14:paraId="74776DD3" w14:textId="56D64B2B" w:rsidR="004E7CF1" w:rsidRPr="00D34646" w:rsidRDefault="00591758" w:rsidP="0096615C">
      <w:pPr>
        <w:pStyle w:val="ListParagraph"/>
        <w:numPr>
          <w:ilvl w:val="0"/>
          <w:numId w:val="7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Наскільки Impulse Project та індивідуально підтримувані субгранти відображають </w:t>
      </w:r>
      <w:r w:rsidR="00153D7C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наскрізні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пріоритети </w:t>
      </w:r>
      <w:proofErr w:type="spellStart"/>
      <w:r w:rsidR="00153D7C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Проєкта</w:t>
      </w:r>
      <w:proofErr w:type="spellEnd"/>
      <w:r w:rsidR="00153D7C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Імпульс 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(демократична </w:t>
      </w:r>
      <w:r w:rsidRPr="00D34646">
        <w:rPr>
          <w:rFonts w:asciiTheme="minorHAnsi" w:hAnsiTheme="minorHAnsi" w:cstheme="minorHAnsi"/>
          <w:sz w:val="24"/>
          <w:szCs w:val="24"/>
        </w:rPr>
        <w:t xml:space="preserve">участь, 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недискримінація та гендерна рівність, інклюзивність процесів відновлення, </w:t>
      </w:r>
      <w:r w:rsidRPr="00D34646">
        <w:rPr>
          <w:rFonts w:asciiTheme="minorHAnsi" w:hAnsiTheme="minorHAnsi" w:cstheme="minorHAnsi"/>
          <w:sz w:val="24"/>
          <w:szCs w:val="24"/>
        </w:rPr>
        <w:t>боротьба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з корупцією, мінімізація негативного впливу на довкілля)? </w:t>
      </w:r>
    </w:p>
    <w:p w14:paraId="227BE4A5" w14:textId="22EC7665" w:rsidR="004E7CF1" w:rsidRPr="00D34646" w:rsidRDefault="00591758" w:rsidP="0096615C">
      <w:pPr>
        <w:numPr>
          <w:ilvl w:val="0"/>
          <w:numId w:val="1"/>
        </w:numP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</w:rPr>
        <w:t>Узгодженості:</w:t>
      </w:r>
    </w:p>
    <w:p w14:paraId="71BAE9EE" w14:textId="07C80F9A" w:rsidR="00975B69" w:rsidRPr="00D34646" w:rsidRDefault="00975B69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color w:val="444746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Наскільки підходи, методи та цілі </w:t>
      </w:r>
      <w:proofErr w:type="spellStart"/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>грантоотримувач</w:t>
      </w:r>
      <w:r w:rsidR="00153D7C"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t>ів</w:t>
      </w:r>
      <w:proofErr w:type="spellEnd"/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 узгоджені між собою та з загальною стратегією </w:t>
      </w:r>
      <w:proofErr w:type="spellStart"/>
      <w:r w:rsidR="00CC4FF9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Проєкта</w:t>
      </w:r>
      <w:proofErr w:type="spellEnd"/>
      <w:r w:rsidR="00CC4FF9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Імпульс</w:t>
      </w: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>?</w:t>
      </w:r>
    </w:p>
    <w:p w14:paraId="631FA922" w14:textId="40A24256" w:rsidR="00975B69" w:rsidRPr="00D34646" w:rsidRDefault="00975B69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color w:val="444746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У місцях, де кілька </w:t>
      </w:r>
      <w:r w:rsidR="00CC4FF9"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t xml:space="preserve">ОГС одержують грантову підтримку, </w:t>
      </w: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>наскільки добре ї</w:t>
      </w:r>
      <w:r w:rsidR="00CC4FF9"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t>х</w:t>
      </w: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 зусилля координуються або доповнюються? Чи є </w:t>
      </w:r>
      <w:r w:rsidR="00CC4FF9"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t>свідчення</w:t>
      </w: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 співпраці або дублювання?</w:t>
      </w:r>
    </w:p>
    <w:p w14:paraId="639C8D28" w14:textId="65F633C4" w:rsidR="00703FC4" w:rsidRPr="00D34646" w:rsidRDefault="00703FC4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color w:val="444746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Наскільки підтримувані </w:t>
      </w:r>
      <w:r w:rsidR="00CC4FF9"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t>ОГС</w:t>
      </w: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 співпрацюють і координують співпрацю з колегами всередині та між секторами?</w:t>
      </w:r>
    </w:p>
    <w:p w14:paraId="6BBD3EED" w14:textId="77777777" w:rsidR="004E7CF1" w:rsidRPr="00D34646" w:rsidRDefault="00591758" w:rsidP="0096615C">
      <w:pPr>
        <w:numPr>
          <w:ilvl w:val="0"/>
          <w:numId w:val="4"/>
        </w:numP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</w:rPr>
        <w:t>Ефективність:</w:t>
      </w:r>
    </w:p>
    <w:p w14:paraId="5623F23F" w14:textId="28676AAD" w:rsidR="004E7CF1" w:rsidRPr="00D34646" w:rsidRDefault="00591758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color w:val="444746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>Який прогрес у досягненні запланованих результатів? Чи є суттєві відхилення від плану і наскільки вони критичні, якщо такі є?</w:t>
      </w:r>
    </w:p>
    <w:p w14:paraId="3C11474F" w14:textId="77777777" w:rsidR="004E7CF1" w:rsidRPr="00D34646" w:rsidRDefault="00591758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color w:val="444746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>Наскільки заплановані та реалізовані заходи забезпечують досягнення загальних і конкретних цілей проєкту? Чи потрібно переглядати та/або змінювати типи діяльності?</w:t>
      </w:r>
    </w:p>
    <w:p w14:paraId="7DE9752A" w14:textId="6B39C9F1" w:rsidR="004E7CF1" w:rsidRPr="00D34646" w:rsidRDefault="00591758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color w:val="444746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>Які фактори сприяли досягненню або недосягненню запланованих результатів? Чи є ризики недосягнення запланованих результатів у повному масштабі?</w:t>
      </w:r>
    </w:p>
    <w:p w14:paraId="0040D9CD" w14:textId="1055B126" w:rsidR="004E7CF1" w:rsidRPr="00D34646" w:rsidRDefault="00CC4FF9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color w:val="444746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t>Якою мірою</w:t>
      </w:r>
      <w:r w:rsidR="003E0000"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 підтримка проєкту Імпульс сприяла більшій видимості, легітимності чи визнанню громадських організацій у їхніх територіальних спільнотах або секторах?</w:t>
      </w:r>
    </w:p>
    <w:p w14:paraId="6FA4E519" w14:textId="229CEBBE" w:rsidR="004E7CF1" w:rsidRPr="00D34646" w:rsidRDefault="00CC4FF9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color w:val="444746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lastRenderedPageBreak/>
        <w:t>Якою мірою</w:t>
      </w:r>
      <w:r w:rsidR="00591758"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 </w:t>
      </w:r>
      <w:r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t>ОГС</w:t>
      </w:r>
      <w:r w:rsidR="00591758"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 вважають, що їхній вплив у суспільстві та територіальній спільноті зростає завдяки підтримці, яку вони отримують від </w:t>
      </w:r>
      <w:r w:rsidRPr="00D34646">
        <w:rPr>
          <w:rFonts w:asciiTheme="minorHAnsi" w:eastAsia="Calibri" w:hAnsiTheme="minorHAnsi" w:cstheme="minorHAnsi"/>
          <w:color w:val="444746"/>
          <w:sz w:val="24"/>
          <w:szCs w:val="24"/>
          <w:lang w:val="uk-UA"/>
        </w:rPr>
        <w:t>П</w:t>
      </w:r>
      <w:proofErr w:type="spellStart"/>
      <w:r w:rsidR="00591758"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>роєкту</w:t>
      </w:r>
      <w:proofErr w:type="spellEnd"/>
      <w:r w:rsidR="00591758" w:rsidRPr="00D34646">
        <w:rPr>
          <w:rFonts w:asciiTheme="minorHAnsi" w:eastAsia="Calibri" w:hAnsiTheme="minorHAnsi" w:cstheme="minorHAnsi"/>
          <w:color w:val="444746"/>
          <w:sz w:val="24"/>
          <w:szCs w:val="24"/>
        </w:rPr>
        <w:t xml:space="preserve"> Імпульс?</w:t>
      </w:r>
    </w:p>
    <w:p w14:paraId="23F5E067" w14:textId="4BA84646" w:rsidR="004E7CF1" w:rsidRPr="00D34646" w:rsidRDefault="00591758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Очікується, що на основі результатів оцінки будуть розроблені рекомендації щодо необхідності коригування плану реалізації проєкту на наступний період, вжиття заходів для мінімізації впливу негативних факторів і ризиків та досягнення запланованих результатів.</w:t>
      </w:r>
    </w:p>
    <w:p w14:paraId="2AAE8DAF" w14:textId="45A4FDE8" w:rsidR="004E7CF1" w:rsidRPr="00D34646" w:rsidRDefault="00591758" w:rsidP="0096615C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b/>
          <w:sz w:val="24"/>
          <w:szCs w:val="24"/>
        </w:rPr>
        <w:t xml:space="preserve">Зверніть увагу, що результати зовнішньої оцінки Проєкту </w:t>
      </w:r>
      <w:r w:rsidR="00CC4FF9" w:rsidRPr="00D34646">
        <w:rPr>
          <w:rFonts w:asciiTheme="minorHAnsi" w:hAnsiTheme="minorHAnsi" w:cstheme="minorHAnsi"/>
          <w:b/>
          <w:sz w:val="24"/>
          <w:szCs w:val="24"/>
          <w:lang w:val="uk-UA"/>
        </w:rPr>
        <w:t xml:space="preserve">Імпульс </w:t>
      </w:r>
      <w:r w:rsidRPr="00D34646">
        <w:rPr>
          <w:rFonts w:asciiTheme="minorHAnsi" w:hAnsiTheme="minorHAnsi" w:cstheme="minorHAnsi"/>
          <w:b/>
          <w:sz w:val="24"/>
          <w:szCs w:val="24"/>
        </w:rPr>
        <w:t xml:space="preserve">є конфіденційною інформацією для індивідуального використання </w:t>
      </w:r>
      <w:r w:rsidR="00CC4FF9" w:rsidRPr="00D34646">
        <w:rPr>
          <w:rFonts w:asciiTheme="minorHAnsi" w:hAnsiTheme="minorHAnsi" w:cstheme="minorHAnsi"/>
          <w:b/>
          <w:sz w:val="24"/>
          <w:szCs w:val="24"/>
          <w:lang w:val="uk-UA"/>
        </w:rPr>
        <w:t>Замовником</w:t>
      </w:r>
      <w:r w:rsidRPr="00D34646">
        <w:rPr>
          <w:rFonts w:asciiTheme="minorHAnsi" w:hAnsiTheme="minorHAnsi" w:cstheme="minorHAnsi"/>
          <w:b/>
          <w:sz w:val="24"/>
          <w:szCs w:val="24"/>
        </w:rPr>
        <w:t xml:space="preserve"> і не будуть доступні для публікації Оцінювачем. </w:t>
      </w:r>
    </w:p>
    <w:p w14:paraId="3C295C4D" w14:textId="77777777" w:rsidR="00375B74" w:rsidRPr="00D34646" w:rsidRDefault="00591758" w:rsidP="00375B74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Пропозиція щодо проведення оцінки може бути подана у будь-якому форматі; Однак пропозиція має містити наступну обов'язкову інформацію:</w:t>
      </w:r>
    </w:p>
    <w:p w14:paraId="4842EA9C" w14:textId="19C6C64C" w:rsidR="00086C03" w:rsidRPr="00D34646" w:rsidRDefault="00375B74" w:rsidP="00375B74">
      <w:pPr>
        <w:spacing w:before="240"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  <w:u w:val="single"/>
        </w:rPr>
        <w:t>Вимоги до методології оцінювання</w:t>
      </w:r>
    </w:p>
    <w:p w14:paraId="18E57807" w14:textId="435F34C3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Пропозиція має містити комплексну методологію оцінювання, що відповідає стандартам DAC ОЕСР для оцінки проєктів. Ця методологія має бути основним компонентом пропозиції і включати:</w:t>
      </w:r>
    </w:p>
    <w:p w14:paraId="1A393134" w14:textId="77777777" w:rsidR="00D60CD4" w:rsidRPr="00D34646" w:rsidRDefault="00D60CD4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i/>
          <w:iCs/>
          <w:sz w:val="24"/>
          <w:szCs w:val="24"/>
        </w:rPr>
        <w:t>Методи збору даних</w:t>
      </w:r>
    </w:p>
    <w:p w14:paraId="1DD5BD47" w14:textId="65AD829F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Аналіз документів</w:t>
      </w:r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>,</w:t>
      </w:r>
      <w:r w:rsidRPr="00D34646">
        <w:rPr>
          <w:rFonts w:asciiTheme="minorHAnsi" w:hAnsiTheme="minorHAnsi" w:cstheme="minorHAnsi"/>
          <w:sz w:val="24"/>
          <w:szCs w:val="24"/>
        </w:rPr>
        <w:t xml:space="preserve"> проєктних матеріалів і звітів;</w:t>
      </w:r>
    </w:p>
    <w:p w14:paraId="19C37A3E" w14:textId="0FE3B34D" w:rsidR="0009719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Глиб</w:t>
      </w:r>
      <w:proofErr w:type="spellStart"/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>инні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інтерв'ю з ключовими інформаторами та командами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. </w:t>
      </w:r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Якщо дозволятимуть безпекові умови, 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>до методології</w:t>
      </w:r>
      <w:r w:rsidRPr="00D34646">
        <w:rPr>
          <w:rFonts w:asciiTheme="minorHAnsi" w:hAnsiTheme="minorHAnsi" w:cstheme="minorHAnsi"/>
          <w:sz w:val="24"/>
          <w:szCs w:val="24"/>
        </w:rPr>
        <w:t xml:space="preserve"> можуть бути включені візити </w:t>
      </w:r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>до ОГС</w:t>
      </w:r>
      <w:r w:rsidRPr="00D34646">
        <w:rPr>
          <w:rFonts w:asciiTheme="minorHAnsi" w:hAnsiTheme="minorHAnsi" w:cstheme="minorHAnsi"/>
          <w:sz w:val="24"/>
          <w:szCs w:val="24"/>
        </w:rPr>
        <w:t>;</w:t>
      </w:r>
    </w:p>
    <w:p w14:paraId="7E4D698D" w14:textId="02CE245B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Триангуляція джерел даних для забезпечення достовірності та надійності.</w:t>
      </w:r>
    </w:p>
    <w:p w14:paraId="2D9C0D74" w14:textId="2686CC52" w:rsidR="00D60CD4" w:rsidRPr="00D34646" w:rsidRDefault="004C3E9A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i/>
          <w:iCs/>
          <w:sz w:val="24"/>
          <w:szCs w:val="24"/>
        </w:rPr>
        <w:t>Підхід до вибірки</w:t>
      </w:r>
    </w:p>
    <w:p w14:paraId="56BCF7FA" w14:textId="2EC3379F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Чіткий підхід до вибірки для відбору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і респондентів відповідно до визначених критеріїв для забезпечення регіонального представництва та різноманітності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>.</w:t>
      </w:r>
    </w:p>
    <w:p w14:paraId="5A0FA49D" w14:textId="206E0BD3" w:rsidR="00D60CD4" w:rsidRPr="00D34646" w:rsidRDefault="00D60CD4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i/>
          <w:iCs/>
          <w:sz w:val="24"/>
          <w:szCs w:val="24"/>
        </w:rPr>
        <w:t>Етичні стандарти</w:t>
      </w:r>
    </w:p>
    <w:p w14:paraId="252AF361" w14:textId="3E73E7E4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Конфіденційність і анонімність для всіх учасників опитування та інтерв'ю;</w:t>
      </w:r>
    </w:p>
    <w:p w14:paraId="7BC789A1" w14:textId="37B5F7C2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Процедури інформованої згоди для всіх видів збору даних;</w:t>
      </w:r>
    </w:p>
    <w:p w14:paraId="30F7EAF0" w14:textId="1181557F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Заходи з зменшення ризиків для обробки персональних даних та запобігання витоку конфіденційної інформації;</w:t>
      </w:r>
    </w:p>
    <w:p w14:paraId="485E6610" w14:textId="4C40589B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Відповідність нормам захисту даних та протоколам безпечного зберігання даних.</w:t>
      </w:r>
    </w:p>
    <w:p w14:paraId="52083F3C" w14:textId="4608B1E1" w:rsidR="00D60CD4" w:rsidRPr="00D34646" w:rsidRDefault="00D60CD4" w:rsidP="0096615C">
      <w:pPr>
        <w:pStyle w:val="ListParagraph"/>
        <w:numPr>
          <w:ilvl w:val="0"/>
          <w:numId w:val="8"/>
        </w:numPr>
        <w:spacing w:before="240" w:after="0"/>
        <w:ind w:right="283"/>
        <w:jc w:val="both"/>
        <w:rPr>
          <w:rFonts w:asciiTheme="minorHAnsi" w:eastAsia="Calibri" w:hAnsiTheme="minorHAnsi" w:cstheme="minorHAnsi"/>
          <w:i/>
          <w:iCs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Безпека та </w:t>
      </w:r>
      <w:r w:rsidR="00991565" w:rsidRPr="00D34646">
        <w:rPr>
          <w:rFonts w:asciiTheme="minorHAnsi" w:eastAsia="Calibri" w:hAnsiTheme="minorHAnsi" w:cstheme="minorHAnsi"/>
          <w:i/>
          <w:iCs/>
          <w:sz w:val="24"/>
          <w:szCs w:val="24"/>
          <w:lang w:val="uk-UA"/>
        </w:rPr>
        <w:t>доброчесність</w:t>
      </w:r>
    </w:p>
    <w:p w14:paraId="216EB8B1" w14:textId="7537CFFD" w:rsidR="00D60CD4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Заходи для забезпечення безпеки даних протягом усього процесу оцінювання;</w:t>
      </w:r>
    </w:p>
    <w:p w14:paraId="59272D82" w14:textId="77777777" w:rsidR="00F446C0" w:rsidRPr="00D34646" w:rsidRDefault="00D60CD4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Прозорі процеси забезпечення якості та мінімізації упереджень.</w:t>
      </w:r>
    </w:p>
    <w:p w14:paraId="411CD736" w14:textId="77777777" w:rsidR="00F446C0" w:rsidRPr="00D34646" w:rsidRDefault="00F446C0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11073CB" w14:textId="5A180415" w:rsidR="004E7CF1" w:rsidRPr="00D34646" w:rsidRDefault="006E5B3A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Остаточна </w:t>
      </w:r>
      <w:r w:rsidR="00991565" w:rsidRPr="00D34646">
        <w:rPr>
          <w:rFonts w:asciiTheme="minorHAnsi" w:hAnsiTheme="minorHAnsi" w:cstheme="minorHAnsi"/>
          <w:sz w:val="24"/>
          <w:szCs w:val="24"/>
          <w:lang w:val="uk-UA"/>
        </w:rPr>
        <w:t>редакція</w:t>
      </w:r>
      <w:r w:rsidRPr="00D34646">
        <w:rPr>
          <w:rFonts w:asciiTheme="minorHAnsi" w:hAnsiTheme="minorHAnsi" w:cstheme="minorHAnsi"/>
          <w:sz w:val="24"/>
          <w:szCs w:val="24"/>
        </w:rPr>
        <w:t xml:space="preserve"> методології </w:t>
      </w:r>
      <w:r w:rsidR="00991565" w:rsidRPr="00D34646">
        <w:rPr>
          <w:rFonts w:asciiTheme="minorHAnsi" w:hAnsiTheme="minorHAnsi" w:cstheme="minorHAnsi"/>
          <w:sz w:val="24"/>
          <w:szCs w:val="24"/>
          <w:lang w:val="uk-UA"/>
        </w:rPr>
        <w:t>має бути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991565" w:rsidRPr="00D34646">
        <w:rPr>
          <w:rFonts w:asciiTheme="minorHAnsi" w:hAnsiTheme="minorHAnsi" w:cstheme="minorHAnsi"/>
          <w:sz w:val="24"/>
          <w:szCs w:val="24"/>
          <w:lang w:val="uk-UA"/>
        </w:rPr>
        <w:t>уз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годжена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з </w:t>
      </w:r>
      <w:r w:rsidR="00991565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МФВ та ФСЄ </w:t>
      </w:r>
      <w:r w:rsidRPr="00D34646">
        <w:rPr>
          <w:rFonts w:asciiTheme="minorHAnsi" w:hAnsiTheme="minorHAnsi" w:cstheme="minorHAnsi"/>
          <w:sz w:val="24"/>
          <w:szCs w:val="24"/>
        </w:rPr>
        <w:t xml:space="preserve">і </w:t>
      </w:r>
      <w:r w:rsidR="00991565" w:rsidRPr="00D34646">
        <w:rPr>
          <w:rFonts w:asciiTheme="minorHAnsi" w:hAnsiTheme="minorHAnsi" w:cstheme="minorHAnsi"/>
          <w:sz w:val="24"/>
          <w:szCs w:val="24"/>
          <w:lang w:val="uk-UA"/>
        </w:rPr>
        <w:t>при потребі доопрацьована Оцінювачем</w:t>
      </w:r>
      <w:r w:rsidRPr="00D34646">
        <w:rPr>
          <w:rFonts w:asciiTheme="minorHAnsi" w:hAnsiTheme="minorHAnsi" w:cstheme="minorHAnsi"/>
          <w:sz w:val="24"/>
          <w:szCs w:val="24"/>
        </w:rPr>
        <w:t>.</w:t>
      </w:r>
    </w:p>
    <w:p w14:paraId="6B3F7820" w14:textId="77777777" w:rsidR="00375B74" w:rsidRPr="00D34646" w:rsidRDefault="00591758" w:rsidP="00375B74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Обсяг роботи</w:t>
      </w:r>
    </w:p>
    <w:p w14:paraId="59DFD6B8" w14:textId="60384F1A" w:rsidR="004E7CF1" w:rsidRPr="00D34646" w:rsidRDefault="00591758" w:rsidP="00375B74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right="283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Процес оцінювання повинен включати:</w:t>
      </w:r>
    </w:p>
    <w:p w14:paraId="7B3D4401" w14:textId="6C97D8A8" w:rsidR="004E7CF1" w:rsidRPr="00D34646" w:rsidRDefault="00591758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lastRenderedPageBreak/>
        <w:t>вивчення документації проєкту та публічної інформації про нього;</w:t>
      </w:r>
    </w:p>
    <w:p w14:paraId="7866E188" w14:textId="121B6CEC" w:rsidR="004E7CF1" w:rsidRPr="00D34646" w:rsidRDefault="00591758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аналіз прогресу у досягненні </w:t>
      </w:r>
      <w:r w:rsidRPr="00D34646">
        <w:rPr>
          <w:rFonts w:asciiTheme="minorHAnsi" w:hAnsiTheme="minorHAnsi" w:cstheme="minorHAnsi"/>
          <w:sz w:val="24"/>
          <w:szCs w:val="24"/>
        </w:rPr>
        <w:t>результатів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проєкту</w:t>
      </w:r>
      <w:r w:rsidR="00570BF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, зазначених у Матриці результатів</w:t>
      </w:r>
      <w:r w:rsidRPr="00D34646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1DE71253" w14:textId="19951599" w:rsidR="004E7CF1" w:rsidRPr="00D34646" w:rsidRDefault="00591758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вивчення </w:t>
      </w:r>
      <w:r w:rsidR="00570BFF" w:rsidRPr="00D34646">
        <w:rPr>
          <w:rFonts w:asciiTheme="minorHAnsi" w:hAnsiTheme="minorHAnsi" w:cstheme="minorHAnsi"/>
          <w:sz w:val="24"/>
          <w:szCs w:val="24"/>
          <w:lang w:val="uk-UA"/>
        </w:rPr>
        <w:t>змістовних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звітів обраних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та інших звітних документів Проєкту;</w:t>
      </w:r>
    </w:p>
    <w:p w14:paraId="44B6ADA1" w14:textId="6CEFD5A9" w:rsidR="004E7CF1" w:rsidRPr="00D34646" w:rsidRDefault="00591758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>аналіз результатів оцінки потенціалу організаційного розвитку обраних</w:t>
      </w:r>
      <w:r w:rsidR="00570BF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(OCA) та </w:t>
      </w:r>
      <w:r w:rsidR="00570BF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інституційних 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аудитів систем управління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(SBA);</w:t>
      </w:r>
    </w:p>
    <w:p w14:paraId="2F2FCB29" w14:textId="646A2869" w:rsidR="004E7CF1" w:rsidRPr="00D34646" w:rsidRDefault="00591758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>проведення інтерв'ю з ключовими співробітниками проєкту, представниками цільових груп</w:t>
      </w:r>
      <w:r w:rsidR="00570BF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,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грантоотримувачів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тощо.</w:t>
      </w:r>
    </w:p>
    <w:p w14:paraId="0D1767C0" w14:textId="3620448C" w:rsidR="004E7CF1" w:rsidRPr="00D34646" w:rsidRDefault="00591758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Цей </w:t>
      </w:r>
      <w:r w:rsidR="00570BF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перелік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не є вичерпним і може включати інші </w:t>
      </w:r>
      <w:r w:rsidRPr="00D34646">
        <w:rPr>
          <w:rFonts w:asciiTheme="minorHAnsi" w:hAnsiTheme="minorHAnsi" w:cstheme="minorHAnsi"/>
          <w:sz w:val="24"/>
          <w:szCs w:val="24"/>
        </w:rPr>
        <w:t>дослідження, які</w:t>
      </w:r>
      <w:r w:rsidR="00570BFF" w:rsidRPr="00D34646">
        <w:rPr>
          <w:rFonts w:asciiTheme="minorHAnsi" w:hAnsiTheme="minorHAnsi" w:cstheme="minorHAnsi"/>
          <w:sz w:val="24"/>
          <w:szCs w:val="24"/>
          <w:lang w:val="uk-UA"/>
        </w:rPr>
        <w:t>, на думку Оцінювача,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570BFF" w:rsidRPr="00D34646">
        <w:rPr>
          <w:rFonts w:asciiTheme="minorHAnsi" w:hAnsiTheme="minorHAnsi" w:cstheme="minorHAnsi"/>
          <w:sz w:val="24"/>
          <w:szCs w:val="24"/>
          <w:lang w:val="uk-UA"/>
        </w:rPr>
        <w:t>є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Pr="00D34646">
        <w:rPr>
          <w:rFonts w:asciiTheme="minorHAnsi" w:eastAsia="Calibri" w:hAnsiTheme="minorHAnsi" w:cstheme="minorHAnsi"/>
          <w:sz w:val="24"/>
          <w:szCs w:val="24"/>
        </w:rPr>
        <w:t>необхідними для</w:t>
      </w:r>
      <w:r w:rsidRPr="00D34646">
        <w:rPr>
          <w:rFonts w:asciiTheme="minorHAnsi" w:hAnsiTheme="minorHAnsi" w:cstheme="minorHAnsi"/>
          <w:sz w:val="24"/>
          <w:szCs w:val="24"/>
        </w:rPr>
        <w:t xml:space="preserve"> оцінювання на відповідному рівні </w:t>
      </w:r>
      <w:r w:rsidR="00570BFF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і </w:t>
      </w:r>
      <w:r w:rsidRPr="00D34646">
        <w:rPr>
          <w:rFonts w:asciiTheme="minorHAnsi" w:hAnsiTheme="minorHAnsi" w:cstheme="minorHAnsi"/>
          <w:sz w:val="24"/>
          <w:szCs w:val="24"/>
        </w:rPr>
        <w:t xml:space="preserve">відповідно до погодженої методології. 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389BBEDD" w14:textId="77777777" w:rsidR="006E5B3A" w:rsidRPr="00D34646" w:rsidRDefault="006E5B3A" w:rsidP="0096615C">
      <w:pPr>
        <w:pStyle w:val="ListParagraph"/>
        <w:spacing w:before="240" w:after="0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66AEF0F" w14:textId="62F36A60" w:rsidR="004E7CF1" w:rsidRPr="00D34646" w:rsidRDefault="00161E2E" w:rsidP="00375B7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right="283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Графік </w:t>
      </w:r>
      <w:r w:rsidR="00570BFF" w:rsidRPr="00D34646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uk-UA"/>
        </w:rPr>
        <w:t xml:space="preserve">проведення </w:t>
      </w:r>
      <w:r w:rsidRPr="00D3464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оцінювання</w:t>
      </w:r>
    </w:p>
    <w:p w14:paraId="4F61CCF8" w14:textId="181B608D" w:rsidR="004E7CF1" w:rsidRPr="00D34646" w:rsidRDefault="00591758" w:rsidP="0096615C">
      <w:pPr>
        <w:tabs>
          <w:tab w:val="left" w:pos="3126"/>
        </w:tabs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Графік має бути обговорений і погоджений між Оцінювачем та </w:t>
      </w:r>
      <w:r w:rsidR="00570BFF" w:rsidRPr="00D34646">
        <w:rPr>
          <w:rFonts w:asciiTheme="minorHAnsi" w:hAnsiTheme="minorHAnsi" w:cstheme="minorHAnsi"/>
          <w:sz w:val="24"/>
          <w:szCs w:val="24"/>
          <w:lang w:val="uk-UA"/>
        </w:rPr>
        <w:t>МФВ</w:t>
      </w:r>
      <w:r w:rsidRPr="00D34646">
        <w:rPr>
          <w:rFonts w:asciiTheme="minorHAnsi" w:hAnsiTheme="minorHAnsi" w:cstheme="minorHAnsi"/>
          <w:sz w:val="24"/>
          <w:szCs w:val="24"/>
        </w:rPr>
        <w:t xml:space="preserve"> та </w:t>
      </w:r>
      <w:r w:rsidR="00570BFF" w:rsidRPr="00D34646">
        <w:rPr>
          <w:rFonts w:asciiTheme="minorHAnsi" w:hAnsiTheme="minorHAnsi" w:cstheme="minorHAnsi"/>
          <w:sz w:val="24"/>
          <w:szCs w:val="24"/>
          <w:lang w:val="uk-UA"/>
        </w:rPr>
        <w:t>ФСЄ</w:t>
      </w:r>
      <w:r w:rsidRPr="00D34646">
        <w:rPr>
          <w:rFonts w:asciiTheme="minorHAnsi" w:hAnsiTheme="minorHAnsi" w:cstheme="minorHAnsi"/>
          <w:sz w:val="24"/>
          <w:szCs w:val="24"/>
        </w:rPr>
        <w:t xml:space="preserve"> як виконавцями </w:t>
      </w:r>
      <w:r w:rsidR="00570BFF" w:rsidRPr="00D34646">
        <w:rPr>
          <w:rFonts w:asciiTheme="minorHAnsi" w:hAnsiTheme="minorHAnsi" w:cstheme="minorHAnsi"/>
          <w:sz w:val="24"/>
          <w:szCs w:val="24"/>
          <w:lang w:val="uk-UA"/>
        </w:rPr>
        <w:t>П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роєкту</w:t>
      </w:r>
      <w:proofErr w:type="spellEnd"/>
      <w:r w:rsidR="00570BFF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Імпульс</w:t>
      </w:r>
      <w:r w:rsidRPr="00D3464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6011A9C" w14:textId="77777777" w:rsidR="004E7CF1" w:rsidRPr="00D34646" w:rsidRDefault="004E7CF1" w:rsidP="0096615C">
      <w:pPr>
        <w:tabs>
          <w:tab w:val="left" w:pos="3126"/>
        </w:tabs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</w:p>
    <w:p w14:paraId="2366CEAE" w14:textId="6DB66139" w:rsidR="004E7CF1" w:rsidRPr="00D34646" w:rsidRDefault="00570BFF" w:rsidP="0096615C">
      <w:pPr>
        <w:tabs>
          <w:tab w:val="left" w:pos="3126"/>
        </w:tabs>
        <w:spacing w:after="0" w:line="276" w:lineRule="auto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  <w:u w:val="single"/>
          <w:lang w:val="uk-UA"/>
        </w:rPr>
        <w:t>Приблизний</w:t>
      </w:r>
      <w:r w:rsidR="00591758" w:rsidRPr="00D3464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план</w:t>
      </w:r>
    </w:p>
    <w:p w14:paraId="3A13B45D" w14:textId="77777777" w:rsidR="004E7CF1" w:rsidRPr="00D34646" w:rsidRDefault="004E7CF1" w:rsidP="0096615C">
      <w:pPr>
        <w:tabs>
          <w:tab w:val="left" w:pos="3126"/>
        </w:tabs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a1"/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3032"/>
      </w:tblGrid>
      <w:tr w:rsidR="004E7CF1" w:rsidRPr="00D34646" w14:paraId="423BCB1D" w14:textId="77777777">
        <w:tc>
          <w:tcPr>
            <w:tcW w:w="6204" w:type="dxa"/>
            <w:shd w:val="clear" w:color="auto" w:fill="D9D9D9"/>
          </w:tcPr>
          <w:p w14:paraId="20FB34BF" w14:textId="77777777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b/>
                <w:sz w:val="24"/>
                <w:szCs w:val="24"/>
              </w:rPr>
              <w:t>Етапи оцінювання</w:t>
            </w:r>
          </w:p>
        </w:tc>
        <w:tc>
          <w:tcPr>
            <w:tcW w:w="3032" w:type="dxa"/>
            <w:shd w:val="clear" w:color="auto" w:fill="D9D9D9"/>
          </w:tcPr>
          <w:p w14:paraId="60233882" w14:textId="2B165F04" w:rsidR="004E7CF1" w:rsidRPr="00D34646" w:rsidRDefault="003966D9" w:rsidP="0096615C">
            <w:pPr>
              <w:tabs>
                <w:tab w:val="left" w:pos="3126"/>
              </w:tabs>
              <w:spacing w:after="0" w:line="276" w:lineRule="auto"/>
              <w:ind w:right="28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b/>
                <w:sz w:val="24"/>
                <w:szCs w:val="24"/>
              </w:rPr>
              <w:t>Хронологія</w:t>
            </w:r>
          </w:p>
        </w:tc>
      </w:tr>
      <w:tr w:rsidR="004E7CF1" w:rsidRPr="00D34646" w14:paraId="5C19863D" w14:textId="77777777">
        <w:tc>
          <w:tcPr>
            <w:tcW w:w="6204" w:type="dxa"/>
          </w:tcPr>
          <w:p w14:paraId="0AEBE2FE" w14:textId="7DDB9CCE" w:rsidR="004E7CF1" w:rsidRPr="00D34646" w:rsidRDefault="00570BFF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Технічне завдання для проведення </w:t>
            </w:r>
            <w:r w:rsidR="00591758"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тендеру розроблене </w:t>
            </w:r>
            <w:r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МФВ</w:t>
            </w:r>
            <w:r w:rsidR="00591758"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 та </w:t>
            </w:r>
            <w:r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ФСЄ</w:t>
            </w:r>
            <w:r w:rsidR="00591758"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 та затверджене Norad і Sida</w:t>
            </w:r>
          </w:p>
        </w:tc>
        <w:tc>
          <w:tcPr>
            <w:tcW w:w="3032" w:type="dxa"/>
          </w:tcPr>
          <w:p w14:paraId="166FDA61" w14:textId="2AB90B7A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Листопад 2025</w:t>
            </w:r>
          </w:p>
        </w:tc>
      </w:tr>
      <w:tr w:rsidR="004E7CF1" w:rsidRPr="00D34646" w14:paraId="619ABCD7" w14:textId="77777777">
        <w:tc>
          <w:tcPr>
            <w:tcW w:w="6204" w:type="dxa"/>
          </w:tcPr>
          <w:p w14:paraId="5A3FCB8B" w14:textId="2EE67532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Оголошено відкритий тендер на закупівлю послуг</w:t>
            </w:r>
            <w:r w:rsidR="00570BFF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и оцінювання (МФВ)</w:t>
            </w:r>
          </w:p>
        </w:tc>
        <w:tc>
          <w:tcPr>
            <w:tcW w:w="3032" w:type="dxa"/>
          </w:tcPr>
          <w:p w14:paraId="5C707739" w14:textId="77777777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Листопад 2025 </w:t>
            </w:r>
          </w:p>
        </w:tc>
      </w:tr>
      <w:tr w:rsidR="004E7CF1" w:rsidRPr="00D34646" w14:paraId="24CA389E" w14:textId="77777777">
        <w:tc>
          <w:tcPr>
            <w:tcW w:w="6204" w:type="dxa"/>
          </w:tcPr>
          <w:p w14:paraId="084B7CF8" w14:textId="364A2A44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Обраний </w:t>
            </w:r>
            <w:r w:rsidR="00570BFF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О</w:t>
            </w:r>
            <w:proofErr w:type="spellStart"/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цінювач</w:t>
            </w:r>
            <w:proofErr w:type="spellEnd"/>
            <w:r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32" w:type="dxa"/>
          </w:tcPr>
          <w:p w14:paraId="5305E90B" w14:textId="77777777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Грудень 2025</w:t>
            </w:r>
          </w:p>
        </w:tc>
      </w:tr>
      <w:tr w:rsidR="004E7CF1" w:rsidRPr="00D34646" w14:paraId="45FBD963" w14:textId="77777777">
        <w:tc>
          <w:tcPr>
            <w:tcW w:w="6204" w:type="dxa"/>
          </w:tcPr>
          <w:p w14:paraId="7CEAD545" w14:textId="4BEE4C65" w:rsidR="004E7CF1" w:rsidRPr="00D34646" w:rsidRDefault="00A5764E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Доопрацювання</w:t>
            </w:r>
            <w:r w:rsidR="00591758"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 методології оцінювання та </w:t>
            </w:r>
            <w:r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формату</w:t>
            </w:r>
            <w:r w:rsidR="00591758"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 звіту, координація з </w:t>
            </w:r>
            <w:r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МФВ та ФСЄ</w:t>
            </w:r>
          </w:p>
        </w:tc>
        <w:tc>
          <w:tcPr>
            <w:tcW w:w="3032" w:type="dxa"/>
          </w:tcPr>
          <w:p w14:paraId="5804AA08" w14:textId="77777777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Грудень 2025</w:t>
            </w:r>
          </w:p>
        </w:tc>
      </w:tr>
      <w:tr w:rsidR="004E7CF1" w:rsidRPr="00D34646" w14:paraId="7C22FED4" w14:textId="77777777">
        <w:tc>
          <w:tcPr>
            <w:tcW w:w="6204" w:type="dxa"/>
          </w:tcPr>
          <w:p w14:paraId="69CF74B1" w14:textId="77777777" w:rsidR="004E7CF1" w:rsidRPr="00D34646" w:rsidRDefault="00591758" w:rsidP="0096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ind w:right="283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Оцінки:</w:t>
            </w:r>
          </w:p>
          <w:p w14:paraId="56BCA050" w14:textId="4088EC17" w:rsidR="004E7CF1" w:rsidRPr="00D34646" w:rsidRDefault="00591758" w:rsidP="009661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ind w:right="283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Аналіз документів, необхідних для оцінки </w:t>
            </w:r>
            <w:r w:rsidR="00A5764E" w:rsidRPr="00D34646">
              <w:rPr>
                <w:rFonts w:asciiTheme="minorHAnsi" w:hAnsiTheme="minorHAnsi" w:cstheme="minorHAnsi"/>
                <w:color w:val="000000"/>
                <w:sz w:val="24"/>
                <w:szCs w:val="24"/>
                <w:lang w:val="uk-UA"/>
              </w:rPr>
              <w:t>П</w:t>
            </w:r>
            <w:proofErr w:type="spellStart"/>
            <w:r w:rsidRPr="00D346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роєкту</w:t>
            </w:r>
            <w:proofErr w:type="spellEnd"/>
            <w:r w:rsidRPr="00D346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Імпульс;</w:t>
            </w:r>
          </w:p>
          <w:p w14:paraId="1D5EFA20" w14:textId="5766A78C" w:rsidR="004E7CF1" w:rsidRPr="00D34646" w:rsidRDefault="00591758" w:rsidP="009661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ind w:right="283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Інтерв'ю з представниками </w:t>
            </w:r>
            <w:r w:rsidR="00A5764E" w:rsidRPr="00D34646">
              <w:rPr>
                <w:rFonts w:asciiTheme="minorHAnsi" w:hAnsiTheme="minorHAnsi" w:cstheme="minorHAnsi"/>
                <w:color w:val="000000"/>
                <w:sz w:val="24"/>
                <w:szCs w:val="24"/>
                <w:lang w:val="uk-UA"/>
              </w:rPr>
              <w:t>МФВ</w:t>
            </w:r>
            <w:r w:rsidRPr="00D346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та </w:t>
            </w:r>
            <w:r w:rsidR="00A5764E" w:rsidRPr="00D34646">
              <w:rPr>
                <w:rFonts w:asciiTheme="minorHAnsi" w:hAnsiTheme="minorHAnsi" w:cstheme="minorHAnsi"/>
                <w:color w:val="000000"/>
                <w:sz w:val="24"/>
                <w:szCs w:val="24"/>
                <w:lang w:val="uk-UA"/>
              </w:rPr>
              <w:t>ФСЄ</w:t>
            </w:r>
            <w:r w:rsidRPr="00D346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FAE6807" w14:textId="2319BAF7" w:rsidR="004E7CF1" w:rsidRPr="00D34646" w:rsidRDefault="00591758" w:rsidP="009661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76" w:lineRule="auto"/>
              <w:ind w:right="283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Інтерв'ю з представниками грантоотримувачів та представниками різних зацікавлених сторін</w:t>
            </w:r>
          </w:p>
        </w:tc>
        <w:tc>
          <w:tcPr>
            <w:tcW w:w="3032" w:type="dxa"/>
          </w:tcPr>
          <w:p w14:paraId="40D9BC8B" w14:textId="77777777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10 січня – 28 лютого 2026 року</w:t>
            </w:r>
          </w:p>
        </w:tc>
      </w:tr>
      <w:tr w:rsidR="004E7CF1" w:rsidRPr="00D34646" w14:paraId="3939DB30" w14:textId="77777777">
        <w:tc>
          <w:tcPr>
            <w:tcW w:w="6204" w:type="dxa"/>
          </w:tcPr>
          <w:p w14:paraId="6596FF27" w14:textId="1D89E7D2" w:rsidR="004E7CF1" w:rsidRPr="00D34646" w:rsidRDefault="00591758" w:rsidP="0096615C">
            <w:pPr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Підготовка проєкту </w:t>
            </w:r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З</w:t>
            </w: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віту на основі результатів проміжної оцінки реалізації</w:t>
            </w:r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Проєкта</w:t>
            </w:r>
            <w:proofErr w:type="spellEnd"/>
            <w:r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 Імпульс відповідно до погодженого план</w:t>
            </w:r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у</w:t>
            </w:r>
          </w:p>
        </w:tc>
        <w:tc>
          <w:tcPr>
            <w:tcW w:w="3032" w:type="dxa"/>
          </w:tcPr>
          <w:p w14:paraId="6CC769FC" w14:textId="77777777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До 30 березня 2026 року</w:t>
            </w:r>
          </w:p>
        </w:tc>
      </w:tr>
      <w:tr w:rsidR="004E7CF1" w:rsidRPr="00D34646" w14:paraId="0FFCE695" w14:textId="77777777">
        <w:tc>
          <w:tcPr>
            <w:tcW w:w="6204" w:type="dxa"/>
          </w:tcPr>
          <w:p w14:paraId="7B9A96FA" w14:textId="74300DAC" w:rsidR="004E7CF1" w:rsidRPr="00D34646" w:rsidRDefault="00FF43D5" w:rsidP="0096615C">
            <w:pPr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Обговорення проекту звіту з </w:t>
            </w:r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МФВ</w:t>
            </w: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ФСЄ</w:t>
            </w: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, N</w:t>
            </w:r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orad</w:t>
            </w: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, S</w:t>
            </w:r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ida</w:t>
            </w:r>
          </w:p>
        </w:tc>
        <w:tc>
          <w:tcPr>
            <w:tcW w:w="3032" w:type="dxa"/>
          </w:tcPr>
          <w:p w14:paraId="749EED27" w14:textId="20608FD3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До 10 квітня 2026 року</w:t>
            </w:r>
          </w:p>
        </w:tc>
      </w:tr>
      <w:tr w:rsidR="004E7CF1" w:rsidRPr="00D34646" w14:paraId="3B56774C" w14:textId="77777777">
        <w:tc>
          <w:tcPr>
            <w:tcW w:w="6204" w:type="dxa"/>
          </w:tcPr>
          <w:p w14:paraId="7426ADE1" w14:textId="1337D135" w:rsidR="004E7CF1" w:rsidRPr="00D34646" w:rsidRDefault="00591758" w:rsidP="0096615C">
            <w:pPr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Подання фінальної версії звіту до</w:t>
            </w:r>
            <w:r w:rsidR="00A5764E" w:rsidRPr="00D34646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МФВ</w:t>
            </w:r>
          </w:p>
        </w:tc>
        <w:tc>
          <w:tcPr>
            <w:tcW w:w="3032" w:type="dxa"/>
          </w:tcPr>
          <w:p w14:paraId="0AE98315" w14:textId="77777777" w:rsidR="004E7CF1" w:rsidRPr="00D34646" w:rsidRDefault="00591758" w:rsidP="0096615C">
            <w:pPr>
              <w:tabs>
                <w:tab w:val="left" w:pos="3126"/>
              </w:tabs>
              <w:spacing w:after="0" w:line="276" w:lineRule="auto"/>
              <w:ind w:right="28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34646">
              <w:rPr>
                <w:rFonts w:asciiTheme="minorHAnsi" w:hAnsiTheme="minorHAnsi" w:cstheme="minorHAnsi"/>
                <w:sz w:val="24"/>
                <w:szCs w:val="24"/>
              </w:rPr>
              <w:t>20 квітня 2026 року</w:t>
            </w:r>
          </w:p>
        </w:tc>
      </w:tr>
    </w:tbl>
    <w:p w14:paraId="6681E5FA" w14:textId="77777777" w:rsidR="00161E2E" w:rsidRPr="00D34646" w:rsidRDefault="00161E2E" w:rsidP="0096615C">
      <w:pPr>
        <w:spacing w:after="0" w:line="276" w:lineRule="auto"/>
        <w:ind w:right="283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135468F3" w14:textId="62A39D01" w:rsidR="008B1D7A" w:rsidRPr="00D34646" w:rsidRDefault="00106DCF" w:rsidP="0096615C">
      <w:pPr>
        <w:spacing w:after="0" w:line="276" w:lineRule="auto"/>
        <w:ind w:right="283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sz w:val="24"/>
          <w:szCs w:val="24"/>
          <w:u w:val="single"/>
        </w:rPr>
        <w:t xml:space="preserve">Очікуваний формат Звіту з оцінки </w:t>
      </w:r>
    </w:p>
    <w:p w14:paraId="644551FA" w14:textId="089BB893" w:rsidR="008B1D7A" w:rsidRPr="00D34646" w:rsidRDefault="008B1D7A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Оцінювач має підготувати Звіт про оцінку на основі результатів незалежної проміжної оцінки реалізації </w:t>
      </w:r>
      <w:proofErr w:type="spellStart"/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Проєкта</w:t>
      </w:r>
      <w:proofErr w:type="spellEnd"/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D34646">
        <w:rPr>
          <w:rFonts w:asciiTheme="minorHAnsi" w:hAnsiTheme="minorHAnsi" w:cstheme="minorHAnsi"/>
          <w:sz w:val="24"/>
          <w:szCs w:val="24"/>
        </w:rPr>
        <w:t xml:space="preserve">Імпульс, враховуючи всі перелічені компоненти, а також висновки та рекомендації для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МФВ</w:t>
      </w:r>
      <w:r w:rsidRPr="00D34646">
        <w:rPr>
          <w:rFonts w:asciiTheme="minorHAnsi" w:hAnsiTheme="minorHAnsi" w:cstheme="minorHAnsi"/>
          <w:sz w:val="24"/>
          <w:szCs w:val="24"/>
        </w:rPr>
        <w:t xml:space="preserve"> та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ФСЄ</w:t>
      </w:r>
      <w:r w:rsidRPr="00D34646">
        <w:rPr>
          <w:rFonts w:asciiTheme="minorHAnsi" w:hAnsiTheme="minorHAnsi" w:cstheme="minorHAnsi"/>
          <w:sz w:val="24"/>
          <w:szCs w:val="24"/>
        </w:rPr>
        <w:t xml:space="preserve">.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П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ропонований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формат/структура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З</w:t>
      </w:r>
      <w:r w:rsidRPr="00D34646">
        <w:rPr>
          <w:rFonts w:asciiTheme="minorHAnsi" w:hAnsiTheme="minorHAnsi" w:cstheme="minorHAnsi"/>
          <w:sz w:val="24"/>
          <w:szCs w:val="24"/>
        </w:rPr>
        <w:t>віту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про проведення незалежної проміжної оцінки</w:t>
      </w:r>
      <w:r w:rsidRPr="00D34646">
        <w:rPr>
          <w:rFonts w:asciiTheme="minorHAnsi" w:hAnsiTheme="minorHAnsi" w:cstheme="minorHAnsi"/>
          <w:sz w:val="24"/>
          <w:szCs w:val="24"/>
        </w:rPr>
        <w:t xml:space="preserve"> має бути представлений у окремому додатку до пропозиції.</w:t>
      </w:r>
    </w:p>
    <w:p w14:paraId="1E04B4EF" w14:textId="77777777" w:rsidR="008333C2" w:rsidRPr="00D34646" w:rsidRDefault="008333C2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D2F694E" w14:textId="61BB69E5" w:rsidR="004E7CF1" w:rsidRPr="00D34646" w:rsidRDefault="008B1D7A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Звіт про оцінку повинен систематично враховувати всі ключові питання оцінки, викладені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у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Технічному завданні</w:t>
      </w:r>
      <w:r w:rsidRPr="00D34646">
        <w:rPr>
          <w:rFonts w:asciiTheme="minorHAnsi" w:hAnsiTheme="minorHAnsi" w:cstheme="minorHAnsi"/>
          <w:sz w:val="24"/>
          <w:szCs w:val="24"/>
        </w:rPr>
        <w:t xml:space="preserve">.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Підготований</w:t>
      </w:r>
      <w:r w:rsidRPr="00D34646">
        <w:rPr>
          <w:rFonts w:asciiTheme="minorHAnsi" w:hAnsiTheme="minorHAnsi" w:cstheme="minorHAnsi"/>
          <w:sz w:val="24"/>
          <w:szCs w:val="24"/>
        </w:rPr>
        <w:t xml:space="preserve"> проєкт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З</w:t>
      </w:r>
      <w:r w:rsidRPr="00D34646">
        <w:rPr>
          <w:rFonts w:asciiTheme="minorHAnsi" w:hAnsiTheme="minorHAnsi" w:cstheme="minorHAnsi"/>
          <w:sz w:val="24"/>
          <w:szCs w:val="24"/>
        </w:rPr>
        <w:t xml:space="preserve">віту слід подати до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МФВ</w:t>
      </w:r>
      <w:r w:rsidRPr="00D34646">
        <w:rPr>
          <w:rFonts w:asciiTheme="minorHAnsi" w:hAnsiTheme="minorHAnsi" w:cstheme="minorHAnsi"/>
          <w:sz w:val="24"/>
          <w:szCs w:val="24"/>
        </w:rPr>
        <w:t xml:space="preserve"> для розгляду та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заходів із </w:t>
      </w:r>
      <w:r w:rsidRPr="00D34646">
        <w:rPr>
          <w:rFonts w:asciiTheme="minorHAnsi" w:hAnsiTheme="minorHAnsi" w:cstheme="minorHAnsi"/>
          <w:sz w:val="24"/>
          <w:szCs w:val="24"/>
        </w:rPr>
        <w:t xml:space="preserve">забезпечення якості. Остаточний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Звіт про проведення оцінювання</w:t>
      </w:r>
      <w:r w:rsidRPr="00D34646">
        <w:rPr>
          <w:rFonts w:asciiTheme="minorHAnsi" w:hAnsiTheme="minorHAnsi" w:cstheme="minorHAnsi"/>
          <w:sz w:val="24"/>
          <w:szCs w:val="24"/>
        </w:rPr>
        <w:t xml:space="preserve"> має бути підготовлений </w:t>
      </w:r>
      <w:r w:rsidRPr="00D34646">
        <w:rPr>
          <w:rFonts w:asciiTheme="minorHAnsi" w:hAnsiTheme="minorHAnsi" w:cstheme="minorHAnsi"/>
          <w:b/>
          <w:bCs/>
          <w:sz w:val="24"/>
          <w:szCs w:val="24"/>
        </w:rPr>
        <w:t>українською та англійською мовами</w:t>
      </w:r>
      <w:r w:rsidRPr="00D34646">
        <w:rPr>
          <w:rFonts w:asciiTheme="minorHAnsi" w:hAnsiTheme="minorHAnsi" w:cstheme="minorHAnsi"/>
          <w:sz w:val="24"/>
          <w:szCs w:val="24"/>
        </w:rPr>
        <w:t xml:space="preserve"> та містити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близько</w:t>
      </w:r>
      <w:r w:rsidRPr="00D34646">
        <w:rPr>
          <w:rFonts w:asciiTheme="minorHAnsi" w:hAnsiTheme="minorHAnsi" w:cstheme="minorHAnsi"/>
          <w:sz w:val="24"/>
          <w:szCs w:val="24"/>
        </w:rPr>
        <w:t xml:space="preserve"> 40 сторінок,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не включаючи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додатк</w:t>
      </w:r>
      <w:proofErr w:type="spellEnd"/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и</w:t>
      </w:r>
      <w:r w:rsidRPr="00D34646">
        <w:rPr>
          <w:rFonts w:asciiTheme="minorHAnsi" w:hAnsiTheme="minorHAnsi" w:cstheme="minorHAnsi"/>
          <w:sz w:val="24"/>
          <w:szCs w:val="24"/>
        </w:rPr>
        <w:t xml:space="preserve">.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Звіт має включати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виконавч</w:t>
      </w:r>
      <w:proofErr w:type="spellEnd"/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е резюме</w:t>
      </w:r>
      <w:r w:rsidRPr="00D34646">
        <w:rPr>
          <w:rFonts w:asciiTheme="minorHAnsi" w:hAnsiTheme="minorHAnsi" w:cstheme="minorHAnsi"/>
          <w:sz w:val="24"/>
          <w:szCs w:val="24"/>
        </w:rPr>
        <w:t xml:space="preserve"> обсягом не більше 5 сторінок,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яке </w:t>
      </w:r>
      <w:r w:rsidRPr="00D34646">
        <w:rPr>
          <w:rFonts w:asciiTheme="minorHAnsi" w:hAnsiTheme="minorHAnsi" w:cstheme="minorHAnsi"/>
          <w:sz w:val="24"/>
          <w:szCs w:val="24"/>
        </w:rPr>
        <w:t xml:space="preserve">містить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стислий</w:t>
      </w:r>
      <w:r w:rsidRPr="00D34646">
        <w:rPr>
          <w:rFonts w:asciiTheme="minorHAnsi" w:hAnsiTheme="minorHAnsi" w:cstheme="minorHAnsi"/>
          <w:sz w:val="24"/>
          <w:szCs w:val="24"/>
        </w:rPr>
        <w:t xml:space="preserve"> огляд 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>П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роєкту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Імпульс, контекст і поточний стан</w:t>
      </w:r>
      <w:r w:rsidR="00A5764E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його реалізаці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ї</w:t>
      </w:r>
      <w:r w:rsidRPr="00D34646">
        <w:rPr>
          <w:rFonts w:asciiTheme="minorHAnsi" w:hAnsiTheme="minorHAnsi" w:cstheme="minorHAnsi"/>
          <w:sz w:val="24"/>
          <w:szCs w:val="24"/>
        </w:rPr>
        <w:t xml:space="preserve">, мету оцінювання, застосовану методологію, а також ключові 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результати</w:t>
      </w:r>
      <w:r w:rsidRPr="00D34646">
        <w:rPr>
          <w:rFonts w:asciiTheme="minorHAnsi" w:hAnsiTheme="minorHAnsi" w:cstheme="minorHAnsi"/>
          <w:sz w:val="24"/>
          <w:szCs w:val="24"/>
        </w:rPr>
        <w:t xml:space="preserve">, висновки та рекомендації для 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П</w:t>
      </w:r>
      <w:proofErr w:type="spellStart"/>
      <w:r w:rsidRPr="00D34646">
        <w:rPr>
          <w:rFonts w:asciiTheme="minorHAnsi" w:hAnsiTheme="minorHAnsi" w:cstheme="minorHAnsi"/>
          <w:sz w:val="24"/>
          <w:szCs w:val="24"/>
        </w:rPr>
        <w:t>роєкту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 xml:space="preserve"> Імпульс.</w:t>
      </w:r>
    </w:p>
    <w:p w14:paraId="0835C902" w14:textId="77777777" w:rsidR="008333C2" w:rsidRPr="00D34646" w:rsidRDefault="008333C2" w:rsidP="0096615C">
      <w:pPr>
        <w:spacing w:after="0" w:line="276" w:lineRule="auto"/>
        <w:ind w:right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6C6AC57" w14:textId="19B57DB1" w:rsidR="00375B74" w:rsidRPr="00D34646" w:rsidRDefault="00731E3C" w:rsidP="0096615C">
      <w:pPr>
        <w:spacing w:after="0" w:line="276" w:lineRule="auto"/>
        <w:ind w:right="283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sz w:val="24"/>
          <w:szCs w:val="24"/>
          <w:u w:val="single"/>
        </w:rPr>
        <w:t>Команда оцінювання</w:t>
      </w:r>
    </w:p>
    <w:p w14:paraId="5758EE42" w14:textId="1F9E8228" w:rsidR="00731E3C" w:rsidRPr="00D34646" w:rsidRDefault="00731E3C" w:rsidP="0096615C">
      <w:pPr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Оцінювання має проводитися командою, що складається щонайменше з керівника команди та двох оцінювачів. Будь ласка, надайте загальний список запропонованих оцінювачів і додайте їхні відповідні резюме як окремі додатки до пропозиції. Чітко вкажіть керівника команди, який буде відповідати за координацію загального процесу оцінювання. Основні обов'язки керівника команди включають: </w:t>
      </w:r>
    </w:p>
    <w:p w14:paraId="09B93192" w14:textId="31EBBFBE" w:rsidR="00731E3C" w:rsidRPr="00D34646" w:rsidRDefault="00731E3C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>Розробляти та керувати процес</w:t>
      </w:r>
      <w:proofErr w:type="spellStart"/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ом</w:t>
      </w:r>
      <w:proofErr w:type="spellEnd"/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</w:t>
      </w:r>
      <w:r w:rsidRPr="00D34646">
        <w:rPr>
          <w:rFonts w:asciiTheme="minorHAnsi" w:eastAsia="Calibri" w:hAnsiTheme="minorHAnsi" w:cstheme="minorHAnsi"/>
          <w:sz w:val="24"/>
          <w:szCs w:val="24"/>
        </w:rPr>
        <w:t>оцінювання;</w:t>
      </w:r>
    </w:p>
    <w:p w14:paraId="20AF6E7B" w14:textId="66071189" w:rsidR="00731E3C" w:rsidRPr="00D34646" w:rsidRDefault="00731E3C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Забезпечувати технічний нагляд і 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контроль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якості;</w:t>
      </w:r>
    </w:p>
    <w:p w14:paraId="55982099" w14:textId="1B47FD0B" w:rsidR="00731E3C" w:rsidRPr="00D34646" w:rsidRDefault="008C4C82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Забезпечувати дотримання етичних стандартів; </w:t>
      </w:r>
    </w:p>
    <w:p w14:paraId="24296306" w14:textId="50D2FD2C" w:rsidR="00731E3C" w:rsidRPr="00D34646" w:rsidRDefault="00731E3C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Співпрацювати з командою 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МФВ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та 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ФСЄ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; </w:t>
      </w:r>
    </w:p>
    <w:p w14:paraId="62C8A8DB" w14:textId="749630A4" w:rsidR="00731E3C" w:rsidRPr="00D34646" w:rsidRDefault="00731E3C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Підготувати Звіт з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оцін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ювання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з чіткими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результатами</w:t>
      </w:r>
      <w:r w:rsidRPr="00D34646">
        <w:rPr>
          <w:rFonts w:asciiTheme="minorHAnsi" w:eastAsia="Calibri" w:hAnsiTheme="minorHAnsi" w:cstheme="minorHAnsi"/>
          <w:sz w:val="24"/>
          <w:szCs w:val="24"/>
        </w:rPr>
        <w:t>, висновками та практичними рекомендаціями у межах погоджених термінів;</w:t>
      </w:r>
    </w:p>
    <w:p w14:paraId="73A552E0" w14:textId="663E67EF" w:rsidR="00AA531C" w:rsidRPr="00D34646" w:rsidRDefault="00731E3C" w:rsidP="0096615C">
      <w:pPr>
        <w:pStyle w:val="ListParagraph"/>
        <w:numPr>
          <w:ilvl w:val="0"/>
          <w:numId w:val="14"/>
        </w:numPr>
        <w:spacing w:before="240" w:after="0"/>
        <w:ind w:right="283"/>
        <w:jc w:val="both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Представити результати 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МФВ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ФСЄ</w:t>
      </w:r>
      <w:r w:rsidRPr="00D34646">
        <w:rPr>
          <w:rFonts w:asciiTheme="minorHAnsi" w:eastAsia="Calibri" w:hAnsiTheme="minorHAnsi" w:cstheme="minorHAnsi"/>
          <w:sz w:val="24"/>
          <w:szCs w:val="24"/>
        </w:rPr>
        <w:t>, а також донорам проєкту Impulse.</w:t>
      </w:r>
    </w:p>
    <w:p w14:paraId="06EC4E0C" w14:textId="77777777" w:rsidR="008C4C82" w:rsidRPr="00D34646" w:rsidRDefault="008C4C82" w:rsidP="0096615C">
      <w:pPr>
        <w:pStyle w:val="ListParagraph"/>
        <w:spacing w:before="240" w:after="0"/>
        <w:ind w:right="283"/>
        <w:jc w:val="both"/>
        <w:rPr>
          <w:rFonts w:asciiTheme="minorHAnsi" w:eastAsia="Calibri" w:hAnsiTheme="minorHAnsi" w:cstheme="minorHAnsi"/>
          <w:sz w:val="24"/>
          <w:szCs w:val="24"/>
          <w:lang w:val="en-US"/>
        </w:rPr>
      </w:pPr>
    </w:p>
    <w:p w14:paraId="474324C6" w14:textId="0ECE418D" w:rsidR="004E7CF1" w:rsidRPr="00D34646" w:rsidRDefault="00591758" w:rsidP="0096615C">
      <w:pPr>
        <w:spacing w:after="0" w:line="276" w:lineRule="auto"/>
        <w:ind w:right="283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sz w:val="24"/>
          <w:szCs w:val="24"/>
          <w:u w:val="single"/>
        </w:rPr>
        <w:t>Бюджет</w:t>
      </w:r>
    </w:p>
    <w:p w14:paraId="75E68E60" w14:textId="6F496F6E" w:rsidR="004E7CF1" w:rsidRPr="00D34646" w:rsidRDefault="00591758" w:rsidP="0096615C">
      <w:pPr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>Учасники тендер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а</w:t>
      </w:r>
      <w:r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можуть</w:t>
      </w:r>
      <w:r w:rsidRPr="00D34646">
        <w:rPr>
          <w:rFonts w:asciiTheme="minorHAnsi" w:hAnsiTheme="minorHAnsi" w:cstheme="minorHAnsi"/>
          <w:sz w:val="24"/>
          <w:szCs w:val="24"/>
        </w:rPr>
        <w:t xml:space="preserve"> подавати бюджет у 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довільній</w:t>
      </w:r>
      <w:r w:rsidRPr="00D34646">
        <w:rPr>
          <w:rFonts w:asciiTheme="minorHAnsi" w:hAnsiTheme="minorHAnsi" w:cstheme="minorHAnsi"/>
          <w:sz w:val="24"/>
          <w:szCs w:val="24"/>
        </w:rPr>
        <w:t xml:space="preserve"> формі. Запропонований бюджет має включати загальну вартість послуги, а також деталі та пояснення щодо очікуваних витрат. Загальна вартість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 послуги</w:t>
      </w:r>
      <w:r w:rsidRPr="00D34646">
        <w:rPr>
          <w:rFonts w:asciiTheme="minorHAnsi" w:hAnsiTheme="minorHAnsi" w:cstheme="minorHAnsi"/>
          <w:sz w:val="24"/>
          <w:szCs w:val="24"/>
        </w:rPr>
        <w:t xml:space="preserve">, включно з усіма податками, не повинна перевищувати </w:t>
      </w:r>
      <w:r w:rsidR="00E41A77" w:rsidRPr="00D34646">
        <w:rPr>
          <w:rFonts w:asciiTheme="minorHAnsi" w:hAnsiTheme="minorHAnsi" w:cstheme="minorHAnsi"/>
          <w:b/>
          <w:bCs/>
          <w:sz w:val="24"/>
          <w:szCs w:val="24"/>
        </w:rPr>
        <w:t>2 400 000 гривень</w:t>
      </w:r>
      <w:r w:rsidR="00E41A77" w:rsidRPr="00D3464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D7A87ED" w14:textId="77777777" w:rsidR="009D2927" w:rsidRPr="00D34646" w:rsidRDefault="009D2927" w:rsidP="0096615C">
      <w:pPr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</w:p>
    <w:p w14:paraId="2127F5F4" w14:textId="73AE7C34" w:rsidR="009D2927" w:rsidRPr="00D34646" w:rsidRDefault="004E30A0" w:rsidP="0096615C">
      <w:pPr>
        <w:spacing w:after="0" w:line="276" w:lineRule="auto"/>
        <w:ind w:right="283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 w:rsidRPr="00D34646">
        <w:rPr>
          <w:rFonts w:asciiTheme="minorHAnsi" w:hAnsiTheme="minorHAnsi" w:cstheme="minorHAnsi"/>
          <w:b/>
          <w:bCs/>
          <w:sz w:val="24"/>
          <w:szCs w:val="24"/>
          <w:u w:val="single"/>
        </w:rPr>
        <w:t>Критерії оцінки поданих пропозицій</w:t>
      </w:r>
    </w:p>
    <w:p w14:paraId="5D8B2CB3" w14:textId="541FA466" w:rsidR="005D70E9" w:rsidRPr="00D34646" w:rsidRDefault="005D70E9" w:rsidP="0096615C">
      <w:pPr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</w:rPr>
        <w:t xml:space="preserve">Вибір Оцінювача базуватиметься на оцінці якості та 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ціни</w:t>
      </w:r>
      <w:r w:rsidRPr="00D34646">
        <w:rPr>
          <w:rFonts w:asciiTheme="minorHAnsi" w:hAnsiTheme="minorHAnsi" w:cstheme="minorHAnsi"/>
          <w:sz w:val="24"/>
          <w:szCs w:val="24"/>
        </w:rPr>
        <w:t xml:space="preserve"> усіх поданих пропозицій, використовуючи наведені нижче критерії. 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Д</w:t>
      </w:r>
      <w:r w:rsidRPr="00D34646">
        <w:rPr>
          <w:rFonts w:asciiTheme="minorHAnsi" w:hAnsiTheme="minorHAnsi" w:cstheme="minorHAnsi"/>
          <w:sz w:val="24"/>
          <w:szCs w:val="24"/>
        </w:rPr>
        <w:t xml:space="preserve">отримання </w:t>
      </w:r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етичних норм </w:t>
      </w:r>
      <w:r w:rsidRPr="00D34646">
        <w:rPr>
          <w:rFonts w:asciiTheme="minorHAnsi" w:hAnsiTheme="minorHAnsi" w:cstheme="minorHAnsi"/>
          <w:sz w:val="24"/>
          <w:szCs w:val="24"/>
        </w:rPr>
        <w:t>та незалежність є обов'язковими для всіх учасників т</w:t>
      </w:r>
      <w:proofErr w:type="spellStart"/>
      <w:r w:rsidR="00972DBA" w:rsidRPr="00D34646">
        <w:rPr>
          <w:rFonts w:asciiTheme="minorHAnsi" w:hAnsiTheme="minorHAnsi" w:cstheme="minorHAnsi"/>
          <w:sz w:val="24"/>
          <w:szCs w:val="24"/>
          <w:lang w:val="uk-UA"/>
        </w:rPr>
        <w:t>ендера</w:t>
      </w:r>
      <w:proofErr w:type="spellEnd"/>
      <w:r w:rsidRPr="00D34646">
        <w:rPr>
          <w:rFonts w:asciiTheme="minorHAnsi" w:hAnsiTheme="minorHAnsi" w:cstheme="minorHAnsi"/>
          <w:sz w:val="24"/>
          <w:szCs w:val="24"/>
        </w:rPr>
        <w:t>.</w:t>
      </w:r>
    </w:p>
    <w:p w14:paraId="1B46A0B6" w14:textId="77777777" w:rsidR="005D70E9" w:rsidRPr="00D34646" w:rsidRDefault="005D70E9" w:rsidP="0096615C">
      <w:pPr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</w:p>
    <w:p w14:paraId="13A4F65B" w14:textId="4465669E" w:rsidR="005D70E9" w:rsidRPr="00D34646" w:rsidRDefault="005D70E9" w:rsidP="0096615C">
      <w:pPr>
        <w:pStyle w:val="ListParagraph"/>
        <w:numPr>
          <w:ilvl w:val="0"/>
          <w:numId w:val="19"/>
        </w:numPr>
        <w:spacing w:after="0"/>
        <w:ind w:right="283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>Глибоке розуміння Умов доручення, контексту проєкту Імпульс, цілей та мети оцінки;</w:t>
      </w:r>
    </w:p>
    <w:p w14:paraId="23181901" w14:textId="05E16099" w:rsidR="005D70E9" w:rsidRPr="00D34646" w:rsidRDefault="005D70E9" w:rsidP="0096615C">
      <w:pPr>
        <w:pStyle w:val="ListParagraph"/>
        <w:numPr>
          <w:ilvl w:val="0"/>
          <w:numId w:val="19"/>
        </w:numPr>
        <w:spacing w:after="0"/>
        <w:ind w:right="283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Запропонована методологія оцінки, включаючи підхід 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до формування </w:t>
      </w: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вибірки, питання 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для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оцін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ювання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, збір даних,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триангуляцію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>, аналіз і інструменти оцінки якості;</w:t>
      </w:r>
    </w:p>
    <w:p w14:paraId="02627AF8" w14:textId="7C7C36C9" w:rsidR="004E30A0" w:rsidRPr="00D34646" w:rsidRDefault="004E30A0" w:rsidP="0096615C">
      <w:pPr>
        <w:pStyle w:val="ListParagraph"/>
        <w:numPr>
          <w:ilvl w:val="0"/>
          <w:numId w:val="19"/>
        </w:numPr>
        <w:spacing w:after="0"/>
        <w:ind w:right="283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експертизу команди </w:t>
      </w:r>
      <w:proofErr w:type="spellStart"/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Оцінювальників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>, попередній досвід оцінки програм підтримки громадянського суспільства в Україні;</w:t>
      </w:r>
    </w:p>
    <w:p w14:paraId="32C4B4DC" w14:textId="3B91468A" w:rsidR="004E30A0" w:rsidRPr="00D34646" w:rsidRDefault="004E30A0" w:rsidP="0096615C">
      <w:pPr>
        <w:pStyle w:val="ListParagraph"/>
        <w:numPr>
          <w:ilvl w:val="0"/>
          <w:numId w:val="19"/>
        </w:numPr>
        <w:spacing w:after="0"/>
        <w:ind w:right="283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lastRenderedPageBreak/>
        <w:t>Етика та незалежність, запобігання потенційному конфлікту інтересів, дотримання міжнародно визнаних етичних стандартів «не завдавати шкоди», інформованої згоди, конфіденційності, захисту та зменшення ризиків;</w:t>
      </w:r>
    </w:p>
    <w:p w14:paraId="469DCB10" w14:textId="7A83778B" w:rsidR="004E30A0" w:rsidRPr="00D34646" w:rsidRDefault="004E30A0" w:rsidP="0096615C">
      <w:pPr>
        <w:pStyle w:val="ListParagraph"/>
        <w:numPr>
          <w:ilvl w:val="0"/>
          <w:numId w:val="19"/>
        </w:numPr>
        <w:spacing w:after="0"/>
        <w:ind w:right="283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Економічна ефективність і співвідношення ціни та якості пропозиції: </w:t>
      </w:r>
      <w:r w:rsidR="00972DBA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відповідність </w:t>
      </w:r>
      <w:r w:rsidR="00DA036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між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запропоновани</w:t>
      </w:r>
      <w:proofErr w:type="spellEnd"/>
      <w:r w:rsidR="00DA036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ми </w:t>
      </w:r>
      <w:r w:rsidRPr="00D34646">
        <w:rPr>
          <w:rFonts w:asciiTheme="minorHAnsi" w:eastAsia="Calibri" w:hAnsiTheme="minorHAnsi" w:cstheme="minorHAnsi"/>
          <w:sz w:val="24"/>
          <w:szCs w:val="24"/>
        </w:rPr>
        <w:t>витрат</w:t>
      </w:r>
      <w:proofErr w:type="spellStart"/>
      <w:r w:rsidR="00DA036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ами</w:t>
      </w:r>
      <w:proofErr w:type="spellEnd"/>
      <w:r w:rsidRPr="00D34646">
        <w:rPr>
          <w:rFonts w:asciiTheme="minorHAnsi" w:eastAsia="Calibri" w:hAnsiTheme="minorHAnsi" w:cstheme="minorHAnsi"/>
          <w:sz w:val="24"/>
          <w:szCs w:val="24"/>
        </w:rPr>
        <w:t xml:space="preserve"> та </w:t>
      </w:r>
      <w:proofErr w:type="spellStart"/>
      <w:r w:rsidRPr="00D34646">
        <w:rPr>
          <w:rFonts w:asciiTheme="minorHAnsi" w:eastAsia="Calibri" w:hAnsiTheme="minorHAnsi" w:cstheme="minorHAnsi"/>
          <w:sz w:val="24"/>
          <w:szCs w:val="24"/>
        </w:rPr>
        <w:t>методологі</w:t>
      </w:r>
      <w:r w:rsidR="00DA036F" w:rsidRPr="00D34646">
        <w:rPr>
          <w:rFonts w:asciiTheme="minorHAnsi" w:eastAsia="Calibri" w:hAnsiTheme="minorHAnsi" w:cstheme="minorHAnsi"/>
          <w:sz w:val="24"/>
          <w:szCs w:val="24"/>
          <w:lang w:val="uk-UA"/>
        </w:rPr>
        <w:t>єю</w:t>
      </w:r>
      <w:proofErr w:type="spellEnd"/>
    </w:p>
    <w:p w14:paraId="28F0FFE6" w14:textId="77777777" w:rsidR="004E7CF1" w:rsidRPr="00D34646" w:rsidRDefault="004E7CF1" w:rsidP="0096615C">
      <w:pPr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</w:p>
    <w:p w14:paraId="4095DA52" w14:textId="3765D4C2" w:rsidR="004E7CF1" w:rsidRPr="00D34646" w:rsidRDefault="00CC4FF9" w:rsidP="0096615C">
      <w:pPr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u w:val="single"/>
          <w:lang w:val="uk-UA"/>
        </w:rPr>
      </w:pPr>
      <w:r w:rsidRPr="00D34646">
        <w:rPr>
          <w:rFonts w:asciiTheme="minorHAnsi" w:hAnsiTheme="minorHAnsi" w:cstheme="minorHAnsi"/>
          <w:b/>
          <w:sz w:val="24"/>
          <w:szCs w:val="24"/>
          <w:u w:val="single"/>
          <w:lang w:val="uk-UA"/>
        </w:rPr>
        <w:t>Угода</w:t>
      </w:r>
    </w:p>
    <w:p w14:paraId="29A30F3A" w14:textId="443B617E" w:rsidR="004E7CF1" w:rsidRPr="00D34646" w:rsidRDefault="00CF493E" w:rsidP="0096615C">
      <w:pPr>
        <w:spacing w:after="0" w:line="276" w:lineRule="auto"/>
        <w:ind w:right="283"/>
        <w:rPr>
          <w:rFonts w:asciiTheme="minorHAnsi" w:hAnsiTheme="minorHAnsi" w:cstheme="minorHAnsi"/>
          <w:sz w:val="24"/>
          <w:szCs w:val="24"/>
          <w:lang w:val="en-US"/>
        </w:rPr>
      </w:pPr>
      <w:r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Між </w:t>
      </w:r>
      <w:r w:rsidRPr="00D34646">
        <w:rPr>
          <w:rFonts w:asciiTheme="minorHAnsi" w:hAnsiTheme="minorHAnsi" w:cstheme="minorHAnsi"/>
          <w:sz w:val="24"/>
          <w:szCs w:val="24"/>
        </w:rPr>
        <w:t xml:space="preserve">Міжнародним фондом </w:t>
      </w:r>
      <w:r w:rsidRPr="00D34646">
        <w:rPr>
          <w:rFonts w:asciiTheme="minorHAnsi" w:hAnsiTheme="minorHAnsi" w:cstheme="minorHAnsi"/>
          <w:sz w:val="24"/>
          <w:szCs w:val="24"/>
          <w:lang w:val="uk-UA"/>
        </w:rPr>
        <w:t>«</w:t>
      </w:r>
      <w:r w:rsidRPr="00D34646">
        <w:rPr>
          <w:rFonts w:asciiTheme="minorHAnsi" w:hAnsiTheme="minorHAnsi" w:cstheme="minorHAnsi"/>
          <w:sz w:val="24"/>
          <w:szCs w:val="24"/>
        </w:rPr>
        <w:t>Відродження</w:t>
      </w:r>
      <w:r w:rsidRPr="00D34646">
        <w:rPr>
          <w:rFonts w:asciiTheme="minorHAnsi" w:hAnsiTheme="minorHAnsi" w:cstheme="minorHAnsi"/>
          <w:sz w:val="24"/>
          <w:szCs w:val="24"/>
          <w:lang w:val="uk-UA"/>
        </w:rPr>
        <w:t>»,</w:t>
      </w:r>
      <w:r w:rsidRPr="00D34646">
        <w:rPr>
          <w:rFonts w:asciiTheme="minorHAnsi" w:hAnsiTheme="minorHAnsi" w:cstheme="minorHAnsi"/>
          <w:sz w:val="24"/>
          <w:szCs w:val="24"/>
        </w:rPr>
        <w:t xml:space="preserve"> як </w:t>
      </w:r>
      <w:r w:rsidRPr="00D34646">
        <w:rPr>
          <w:rFonts w:asciiTheme="minorHAnsi" w:hAnsiTheme="minorHAnsi" w:cstheme="minorHAnsi"/>
          <w:sz w:val="24"/>
          <w:szCs w:val="24"/>
          <w:lang w:val="uk-UA"/>
        </w:rPr>
        <w:t>Замовником послуг з оцінювання, та обраним Оцінювачем буде укладена л</w:t>
      </w:r>
      <w:proofErr w:type="spellStart"/>
      <w:r w:rsidR="005D70E9" w:rsidRPr="00D34646">
        <w:rPr>
          <w:rFonts w:asciiTheme="minorHAnsi" w:hAnsiTheme="minorHAnsi" w:cstheme="minorHAnsi"/>
          <w:sz w:val="24"/>
          <w:szCs w:val="24"/>
        </w:rPr>
        <w:t>ише</w:t>
      </w:r>
      <w:proofErr w:type="spellEnd"/>
      <w:r w:rsidR="005D70E9" w:rsidRPr="00D3464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70E9" w:rsidRPr="00D34646">
        <w:rPr>
          <w:rFonts w:asciiTheme="minorHAnsi" w:hAnsiTheme="minorHAnsi" w:cstheme="minorHAnsi"/>
          <w:sz w:val="24"/>
          <w:szCs w:val="24"/>
        </w:rPr>
        <w:t>одн</w:t>
      </w:r>
      <w:proofErr w:type="spellEnd"/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>а</w:t>
      </w:r>
      <w:r w:rsidR="005D70E9"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>угода</w:t>
      </w:r>
      <w:r w:rsidR="005D70E9" w:rsidRPr="00D34646">
        <w:rPr>
          <w:rFonts w:asciiTheme="minorHAnsi" w:hAnsiTheme="minorHAnsi" w:cstheme="minorHAnsi"/>
          <w:sz w:val="24"/>
          <w:szCs w:val="24"/>
        </w:rPr>
        <w:t xml:space="preserve"> </w:t>
      </w:r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>про</w:t>
      </w:r>
      <w:r w:rsidR="005D70E9" w:rsidRPr="00D34646">
        <w:rPr>
          <w:rFonts w:asciiTheme="minorHAnsi" w:hAnsiTheme="minorHAnsi" w:cstheme="minorHAnsi"/>
          <w:sz w:val="24"/>
          <w:szCs w:val="24"/>
        </w:rPr>
        <w:t xml:space="preserve"> надання </w:t>
      </w:r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 xml:space="preserve">послуги </w:t>
      </w:r>
      <w:proofErr w:type="spellStart"/>
      <w:r w:rsidR="005D70E9" w:rsidRPr="00D34646">
        <w:rPr>
          <w:rFonts w:asciiTheme="minorHAnsi" w:hAnsiTheme="minorHAnsi" w:cstheme="minorHAnsi"/>
          <w:sz w:val="24"/>
          <w:szCs w:val="24"/>
        </w:rPr>
        <w:t>незалежн</w:t>
      </w:r>
      <w:proofErr w:type="spellEnd"/>
      <w:r w:rsidR="00CC4FF9" w:rsidRPr="00D34646">
        <w:rPr>
          <w:rFonts w:asciiTheme="minorHAnsi" w:hAnsiTheme="minorHAnsi" w:cstheme="minorHAnsi"/>
          <w:sz w:val="24"/>
          <w:szCs w:val="24"/>
          <w:lang w:val="uk-UA"/>
        </w:rPr>
        <w:t>ого проміжного оцінювання</w:t>
      </w:r>
      <w:r w:rsidR="005D70E9" w:rsidRPr="00D34646">
        <w:rPr>
          <w:rFonts w:asciiTheme="minorHAnsi" w:hAnsiTheme="minorHAnsi" w:cstheme="minorHAnsi"/>
          <w:sz w:val="24"/>
          <w:szCs w:val="24"/>
        </w:rPr>
        <w:t xml:space="preserve">. </w:t>
      </w:r>
    </w:p>
    <w:sectPr w:rsidR="004E7CF1" w:rsidRPr="00D3464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DDC56" w14:textId="77777777" w:rsidR="00FE2D35" w:rsidRDefault="00FE2D35" w:rsidP="004347FE">
      <w:pPr>
        <w:spacing w:after="0" w:line="240" w:lineRule="auto"/>
      </w:pPr>
      <w:r>
        <w:separator/>
      </w:r>
    </w:p>
  </w:endnote>
  <w:endnote w:type="continuationSeparator" w:id="0">
    <w:p w14:paraId="1585C821" w14:textId="77777777" w:rsidR="00FE2D35" w:rsidRDefault="00FE2D35" w:rsidP="0043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A7C2A" w14:textId="77777777" w:rsidR="004347FE" w:rsidRDefault="00434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357C" w14:textId="77777777" w:rsidR="004347FE" w:rsidRDefault="00434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2754" w14:textId="77777777" w:rsidR="004347FE" w:rsidRDefault="00434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89E0C" w14:textId="77777777" w:rsidR="00FE2D35" w:rsidRDefault="00FE2D35" w:rsidP="004347FE">
      <w:pPr>
        <w:spacing w:after="0" w:line="240" w:lineRule="auto"/>
      </w:pPr>
      <w:r>
        <w:separator/>
      </w:r>
    </w:p>
  </w:footnote>
  <w:footnote w:type="continuationSeparator" w:id="0">
    <w:p w14:paraId="5B443169" w14:textId="77777777" w:rsidR="00FE2D35" w:rsidRDefault="00FE2D35" w:rsidP="0043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B1E8" w14:textId="77777777" w:rsidR="004347FE" w:rsidRDefault="00434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1D335" w14:textId="77777777" w:rsidR="004347FE" w:rsidRDefault="00434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E23E" w14:textId="77777777" w:rsidR="004347FE" w:rsidRDefault="00434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38CB"/>
    <w:multiLevelType w:val="hybridMultilevel"/>
    <w:tmpl w:val="8C506A36"/>
    <w:lvl w:ilvl="0" w:tplc="7B084A80">
      <w:start w:val="2"/>
      <w:numFmt w:val="bullet"/>
      <w:lvlText w:val="·"/>
      <w:lvlJc w:val="left"/>
      <w:pPr>
        <w:ind w:left="820" w:hanging="4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30D4"/>
    <w:multiLevelType w:val="hybridMultilevel"/>
    <w:tmpl w:val="46A0D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05D"/>
    <w:multiLevelType w:val="multilevel"/>
    <w:tmpl w:val="32BE123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511CD3"/>
    <w:multiLevelType w:val="hybridMultilevel"/>
    <w:tmpl w:val="14185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F5B18"/>
    <w:multiLevelType w:val="multilevel"/>
    <w:tmpl w:val="CEC87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FB2BBC"/>
    <w:multiLevelType w:val="hybridMultilevel"/>
    <w:tmpl w:val="3B20B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561B6"/>
    <w:multiLevelType w:val="hybridMultilevel"/>
    <w:tmpl w:val="911A0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255F7"/>
    <w:multiLevelType w:val="multilevel"/>
    <w:tmpl w:val="6B3C4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752F36"/>
    <w:multiLevelType w:val="hybridMultilevel"/>
    <w:tmpl w:val="AD1E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B676F"/>
    <w:multiLevelType w:val="hybridMultilevel"/>
    <w:tmpl w:val="AF5279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B777A"/>
    <w:multiLevelType w:val="multilevel"/>
    <w:tmpl w:val="D0D88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6C2B3F"/>
    <w:multiLevelType w:val="hybridMultilevel"/>
    <w:tmpl w:val="74787C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0E58F9"/>
    <w:multiLevelType w:val="hybridMultilevel"/>
    <w:tmpl w:val="11E62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D40B2"/>
    <w:multiLevelType w:val="multilevel"/>
    <w:tmpl w:val="6A944692"/>
    <w:lvl w:ilvl="0">
      <w:start w:val="1"/>
      <w:numFmt w:val="russianUpper"/>
      <w:lvlText w:val="(%1)"/>
      <w:lvlJc w:val="left"/>
      <w:pPr>
        <w:ind w:left="720" w:hanging="360"/>
      </w:pPr>
    </w:lvl>
    <w:lvl w:ilvl="1">
      <w:start w:val="1"/>
      <w:numFmt w:val="russianUpper"/>
      <w:lvlText w:val="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4D395021"/>
    <w:multiLevelType w:val="hybridMultilevel"/>
    <w:tmpl w:val="96081B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52272"/>
    <w:multiLevelType w:val="multilevel"/>
    <w:tmpl w:val="73F0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47DE0"/>
    <w:multiLevelType w:val="hybridMultilevel"/>
    <w:tmpl w:val="E33C31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A7753"/>
    <w:multiLevelType w:val="hybridMultilevel"/>
    <w:tmpl w:val="E440F1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B0983"/>
    <w:multiLevelType w:val="hybridMultilevel"/>
    <w:tmpl w:val="4F585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17"/>
  </w:num>
  <w:num w:numId="16">
    <w:abstractNumId w:val="9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F1"/>
    <w:rsid w:val="00086C03"/>
    <w:rsid w:val="00097194"/>
    <w:rsid w:val="000C658C"/>
    <w:rsid w:val="000D73F2"/>
    <w:rsid w:val="00106DCF"/>
    <w:rsid w:val="00123E31"/>
    <w:rsid w:val="00126EE9"/>
    <w:rsid w:val="00153D7C"/>
    <w:rsid w:val="00161E2E"/>
    <w:rsid w:val="001C56E4"/>
    <w:rsid w:val="001D7A78"/>
    <w:rsid w:val="002208DE"/>
    <w:rsid w:val="002569B3"/>
    <w:rsid w:val="00283F0A"/>
    <w:rsid w:val="0029074E"/>
    <w:rsid w:val="00290B58"/>
    <w:rsid w:val="002C07A4"/>
    <w:rsid w:val="003378F2"/>
    <w:rsid w:val="00350EAA"/>
    <w:rsid w:val="00354056"/>
    <w:rsid w:val="00375B74"/>
    <w:rsid w:val="003966D9"/>
    <w:rsid w:val="003B07C1"/>
    <w:rsid w:val="003E0000"/>
    <w:rsid w:val="004347FE"/>
    <w:rsid w:val="004355B7"/>
    <w:rsid w:val="004419B3"/>
    <w:rsid w:val="00451FE4"/>
    <w:rsid w:val="00470863"/>
    <w:rsid w:val="00491DC7"/>
    <w:rsid w:val="004C3E9A"/>
    <w:rsid w:val="004E30A0"/>
    <w:rsid w:val="004E7CF1"/>
    <w:rsid w:val="005129EE"/>
    <w:rsid w:val="0052353A"/>
    <w:rsid w:val="00570BFF"/>
    <w:rsid w:val="005844B8"/>
    <w:rsid w:val="00585517"/>
    <w:rsid w:val="00591758"/>
    <w:rsid w:val="005C075C"/>
    <w:rsid w:val="005D3EFF"/>
    <w:rsid w:val="005D70E9"/>
    <w:rsid w:val="005E1B9A"/>
    <w:rsid w:val="006031D2"/>
    <w:rsid w:val="0062361F"/>
    <w:rsid w:val="00652D67"/>
    <w:rsid w:val="006530AB"/>
    <w:rsid w:val="00675627"/>
    <w:rsid w:val="006E5B3A"/>
    <w:rsid w:val="006F2DC3"/>
    <w:rsid w:val="00703FC4"/>
    <w:rsid w:val="0071522C"/>
    <w:rsid w:val="00731E3C"/>
    <w:rsid w:val="007515D7"/>
    <w:rsid w:val="00781DC3"/>
    <w:rsid w:val="007B41C4"/>
    <w:rsid w:val="00804F30"/>
    <w:rsid w:val="008333C2"/>
    <w:rsid w:val="008B1D7A"/>
    <w:rsid w:val="008C4C82"/>
    <w:rsid w:val="008F1EBA"/>
    <w:rsid w:val="00916F50"/>
    <w:rsid w:val="009407E5"/>
    <w:rsid w:val="00952470"/>
    <w:rsid w:val="0096615C"/>
    <w:rsid w:val="00972DBA"/>
    <w:rsid w:val="00975B69"/>
    <w:rsid w:val="0099044B"/>
    <w:rsid w:val="00991565"/>
    <w:rsid w:val="009D2927"/>
    <w:rsid w:val="009D6E6F"/>
    <w:rsid w:val="00A10ED3"/>
    <w:rsid w:val="00A14DCC"/>
    <w:rsid w:val="00A5764E"/>
    <w:rsid w:val="00AA531C"/>
    <w:rsid w:val="00AD7CAC"/>
    <w:rsid w:val="00B26D5F"/>
    <w:rsid w:val="00B83533"/>
    <w:rsid w:val="00BE708C"/>
    <w:rsid w:val="00C802A9"/>
    <w:rsid w:val="00C82A87"/>
    <w:rsid w:val="00CB4EAC"/>
    <w:rsid w:val="00CC4FF9"/>
    <w:rsid w:val="00CE0C8A"/>
    <w:rsid w:val="00CF493E"/>
    <w:rsid w:val="00D34646"/>
    <w:rsid w:val="00D55E11"/>
    <w:rsid w:val="00D60CD4"/>
    <w:rsid w:val="00D67B74"/>
    <w:rsid w:val="00DA036F"/>
    <w:rsid w:val="00DC3E96"/>
    <w:rsid w:val="00E04D07"/>
    <w:rsid w:val="00E41A77"/>
    <w:rsid w:val="00E43605"/>
    <w:rsid w:val="00EB04DF"/>
    <w:rsid w:val="00EB0578"/>
    <w:rsid w:val="00EC70AE"/>
    <w:rsid w:val="00EC769C"/>
    <w:rsid w:val="00EF37F2"/>
    <w:rsid w:val="00F446C0"/>
    <w:rsid w:val="00F64121"/>
    <w:rsid w:val="00F67E06"/>
    <w:rsid w:val="00FA599F"/>
    <w:rsid w:val="00FE154D"/>
    <w:rsid w:val="00FE2D35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50A03A"/>
  <w15:docId w15:val="{588FA44C-B11F-E840-8283-15626A11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s">
    <w:name w:val="hps"/>
    <w:uiPriority w:val="99"/>
    <w:rsid w:val="00627020"/>
    <w:rPr>
      <w:rFonts w:ascii="Times New Roman" w:hAnsi="Times New Roman" w:cs="Times New Roman" w:hint="default"/>
    </w:rPr>
  </w:style>
  <w:style w:type="paragraph" w:styleId="NormalWeb">
    <w:name w:val="Normal (Web)"/>
    <w:basedOn w:val="Normal"/>
    <w:semiHidden/>
    <w:rsid w:val="006270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627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020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27020"/>
    <w:rPr>
      <w:vertAlign w:val="superscript"/>
    </w:rPr>
  </w:style>
  <w:style w:type="character" w:styleId="Strong">
    <w:name w:val="Strong"/>
    <w:uiPriority w:val="22"/>
    <w:qFormat/>
    <w:rsid w:val="00627020"/>
    <w:rPr>
      <w:b/>
      <w:bCs/>
    </w:rPr>
  </w:style>
  <w:style w:type="character" w:customStyle="1" w:styleId="rynqvb">
    <w:name w:val="rynqvb"/>
    <w:basedOn w:val="DefaultParagraphFont"/>
    <w:rsid w:val="00627020"/>
  </w:style>
  <w:style w:type="character" w:customStyle="1" w:styleId="hwtze">
    <w:name w:val="hwtze"/>
    <w:basedOn w:val="DefaultParagraphFont"/>
    <w:rsid w:val="00627020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F3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1629"/>
    <w:rPr>
      <w:color w:val="66666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7F2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19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562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47F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7FE"/>
  </w:style>
  <w:style w:type="paragraph" w:styleId="Footer">
    <w:name w:val="footer"/>
    <w:basedOn w:val="Normal"/>
    <w:link w:val="FooterChar"/>
    <w:uiPriority w:val="99"/>
    <w:unhideWhenUsed/>
    <w:rsid w:val="004347F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f.ua/" TargetMode="External"/><Relationship Id="rId13" Type="http://schemas.openxmlformats.org/officeDocument/2006/relationships/hyperlink" Target="https://www.irf.ua/impuls-rezultaty-pershoyi-hvyli-konkursu-malyh-grantiv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rf.ua/impuls-rezultaty-pershoyi-hvyli-konkursu-malyh-grantiv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f.ua/impulse-instgrantees-resul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rf.ua/viziia-stiikosti-2-0-liudskyi-vymir-shcho-proponuie-nove-doslidzhenni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rf.ua/program/impul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ef.org.ua/" TargetMode="External"/><Relationship Id="rId14" Type="http://schemas.openxmlformats.org/officeDocument/2006/relationships/hyperlink" Target="https://www.irf.ua/viziia-stiikosti-2-0-liudskyi-vymir-shcho-proponuie-nove-doslidzhenni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31DF-73B6-4845-9376-5230605C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Кухаренко</dc:creator>
  <cp:lastModifiedBy>Microsoft account</cp:lastModifiedBy>
  <cp:revision>2</cp:revision>
  <dcterms:created xsi:type="dcterms:W3CDTF">2025-11-25T12:31:00Z</dcterms:created>
  <dcterms:modified xsi:type="dcterms:W3CDTF">2025-11-25T12:31:00Z</dcterms:modified>
</cp:coreProperties>
</file>