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20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5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093" w:hanging="2093"/>
      </w:pPr>
    </w:p>
    <w:p>
      <w:pPr>
        <w:pStyle w:val="Основний текст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76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4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Демократія і належне врядування</w:t>
            </w:r>
          </w:p>
        </w:tc>
      </w:tr>
    </w:tbl>
    <w:p>
      <w:pPr>
        <w:pStyle w:val="Основний текст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45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Сприяння розробці статутів територіальних громад та використання інструментів місцевої демократії</w:t>
            </w:r>
          </w:p>
        </w:tc>
      </w:tr>
    </w:tbl>
    <w:p>
      <w:pPr>
        <w:pStyle w:val="Основний текст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7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6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82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"/>
      </w:pPr>
      <w:r>
        <w:rPr>
          <w:rStyle w:val="page number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rStyle w:val="page number"/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0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