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E52" w:rsidRPr="00D5409E" w:rsidRDefault="00671E52" w:rsidP="00671E52">
      <w:pPr>
        <w:jc w:val="right"/>
        <w:rPr>
          <w:rFonts w:asciiTheme="majorHAnsi" w:eastAsia="Times New Roman" w:hAnsiTheme="majorHAnsi" w:cs="Times New Roman"/>
          <w:b/>
          <w:sz w:val="20"/>
          <w:szCs w:val="20"/>
          <w:lang w:val="uk-UA" w:eastAsia="uk-UA"/>
        </w:rPr>
      </w:pPr>
      <w:bookmarkStart w:id="0" w:name="gjdgxs" w:colFirst="0" w:colLast="0"/>
      <w:bookmarkEnd w:id="0"/>
      <w:r w:rsidRPr="00D5409E">
        <w:rPr>
          <w:rFonts w:asciiTheme="majorHAnsi" w:eastAsia="Times New Roman" w:hAnsiTheme="majorHAnsi" w:cs="Times New Roman"/>
          <w:b/>
          <w:sz w:val="20"/>
          <w:szCs w:val="20"/>
          <w:lang w:val="uk-UA" w:eastAsia="uk-UA"/>
        </w:rPr>
        <w:t xml:space="preserve">Додаток </w:t>
      </w:r>
      <w:r w:rsidR="009D6E47" w:rsidRPr="00D5409E">
        <w:rPr>
          <w:rFonts w:asciiTheme="majorHAnsi" w:eastAsia="Times New Roman" w:hAnsiTheme="majorHAnsi" w:cs="Times New Roman"/>
          <w:b/>
          <w:sz w:val="20"/>
          <w:szCs w:val="20"/>
          <w:lang w:val="uk-UA" w:eastAsia="uk-UA"/>
        </w:rPr>
        <w:t>3</w:t>
      </w:r>
      <w:r w:rsidRPr="00D5409E">
        <w:rPr>
          <w:rFonts w:asciiTheme="majorHAnsi" w:eastAsia="Times New Roman" w:hAnsiTheme="majorHAnsi" w:cs="Times New Roman"/>
          <w:b/>
          <w:sz w:val="20"/>
          <w:szCs w:val="20"/>
          <w:lang w:val="uk-UA" w:eastAsia="uk-UA"/>
        </w:rPr>
        <w:t>.</w:t>
      </w:r>
    </w:p>
    <w:p w:rsidR="00187677" w:rsidRPr="00D5409E" w:rsidRDefault="00187677" w:rsidP="00671E52">
      <w:pPr>
        <w:pStyle w:val="Normal1"/>
        <w:spacing w:after="120" w:line="259" w:lineRule="auto"/>
        <w:jc w:val="right"/>
        <w:rPr>
          <w:rFonts w:asciiTheme="majorHAnsi" w:eastAsia="Times New Roman" w:hAnsiTheme="majorHAnsi" w:cs="Times New Roman"/>
          <w:b/>
          <w:sz w:val="20"/>
          <w:szCs w:val="20"/>
          <w:lang w:val="uk-UA"/>
        </w:rPr>
      </w:pPr>
    </w:p>
    <w:p w:rsidR="009B7784" w:rsidRPr="00D5409E" w:rsidRDefault="002976B6" w:rsidP="009B7784">
      <w:pPr>
        <w:pStyle w:val="Normal1"/>
        <w:spacing w:after="0" w:line="259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val="uk-UA"/>
        </w:rPr>
      </w:pPr>
      <w:r w:rsidRPr="00D5409E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>К</w:t>
      </w:r>
      <w:r w:rsidR="000B06C4" w:rsidRPr="00D5409E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>ритерії</w:t>
      </w:r>
      <w:r w:rsidRPr="00D5409E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 організаційного розвитку до </w:t>
      </w:r>
      <w:r w:rsidR="00D5409E" w:rsidRPr="00D5409E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2-го туру </w:t>
      </w:r>
      <w:r w:rsidRPr="00D5409E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конкурсу </w:t>
      </w:r>
      <w:r w:rsidR="009B7784" w:rsidRPr="00D5409E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 xml:space="preserve">інституційних грантів </w:t>
      </w:r>
    </w:p>
    <w:p w:rsidR="000B06C4" w:rsidRPr="00D5409E" w:rsidRDefault="009B7784" w:rsidP="009B7784">
      <w:pPr>
        <w:pStyle w:val="Normal1"/>
        <w:spacing w:after="0" w:line="259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val="uk-UA"/>
        </w:rPr>
      </w:pPr>
      <w:r w:rsidRPr="00D5409E">
        <w:rPr>
          <w:rFonts w:asciiTheme="majorHAnsi" w:eastAsia="Times New Roman" w:hAnsiTheme="majorHAnsi" w:cs="Times New Roman"/>
          <w:b/>
          <w:sz w:val="20"/>
          <w:szCs w:val="20"/>
          <w:lang w:val="uk-UA"/>
        </w:rPr>
        <w:t>у межах Проєкту «Розширення можливостей громадянського суспільства для стійкості та відновлення України»</w:t>
      </w:r>
    </w:p>
    <w:p w:rsidR="009B7784" w:rsidRPr="00D5409E" w:rsidRDefault="009B7784" w:rsidP="009B7784">
      <w:pPr>
        <w:pStyle w:val="Normal1"/>
        <w:spacing w:after="0" w:line="259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val="uk-UA"/>
        </w:rPr>
      </w:pPr>
    </w:p>
    <w:tbl>
      <w:tblPr>
        <w:tblStyle w:val="a"/>
        <w:tblW w:w="14327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1"/>
        <w:gridCol w:w="2524"/>
        <w:gridCol w:w="3543"/>
        <w:gridCol w:w="3828"/>
        <w:gridCol w:w="2551"/>
      </w:tblGrid>
      <w:tr w:rsidR="009B7784" w:rsidRPr="00D5409E" w:rsidTr="009B7784">
        <w:tc>
          <w:tcPr>
            <w:tcW w:w="1881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524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КРИТЕРІЇ / ВИМОГИ</w:t>
            </w:r>
          </w:p>
          <w:p w:rsidR="008E7DD5" w:rsidRPr="00D5409E" w:rsidRDefault="008E7DD5" w:rsidP="007B257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до належного рівня</w:t>
            </w:r>
            <w:r w:rsidR="007B257A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організації громадянського суспільства (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ОГС</w:t>
            </w:r>
            <w:r w:rsidR="007B257A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543" w:type="dxa"/>
            <w:shd w:val="clear" w:color="auto" w:fill="8DB3E2"/>
          </w:tcPr>
          <w:p w:rsidR="009B7784" w:rsidRPr="00D5409E" w:rsidRDefault="008E7DD5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НЕОБХІДНО</w:t>
            </w:r>
          </w:p>
          <w:p w:rsidR="009B7784" w:rsidRPr="00D5409E" w:rsidRDefault="009B7784" w:rsidP="008E7DD5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для отримання інституційного гранту</w:t>
            </w:r>
          </w:p>
        </w:tc>
        <w:tc>
          <w:tcPr>
            <w:tcW w:w="3828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C4467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ПОТРІБНО</w:t>
            </w:r>
          </w:p>
          <w:p w:rsidR="009B7784" w:rsidRPr="00D5409E" w:rsidRDefault="009B7784" w:rsidP="002F487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розробити /досягнути рівня розвитку  під час </w:t>
            </w:r>
            <w:r w:rsidR="002F4872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реалізації</w:t>
            </w: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інституційного гранту</w:t>
            </w:r>
          </w:p>
        </w:tc>
        <w:tc>
          <w:tcPr>
            <w:tcW w:w="2551" w:type="dxa"/>
            <w:shd w:val="clear" w:color="auto" w:fill="8DB3E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2F487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Підтверджуючі </w:t>
            </w:r>
            <w:r w:rsidR="002F4872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джерела</w:t>
            </w: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9B7784" w:rsidRPr="00D5409E" w:rsidTr="009B7784">
        <w:tc>
          <w:tcPr>
            <w:tcW w:w="188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ВРЯДУВАННЯ</w:t>
            </w:r>
          </w:p>
        </w:tc>
        <w:tc>
          <w:tcPr>
            <w:tcW w:w="2524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shd w:val="clear" w:color="auto" w:fill="BFBFBF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9B7784" w:rsidRPr="00D5409E" w:rsidTr="009B7784">
        <w:trPr>
          <w:trHeight w:val="140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Місія, мета</w:t>
            </w:r>
            <w:r w:rsidR="002F4872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, цілі</w:t>
            </w:r>
            <w:r w:rsidR="007B257A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 ОГС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2F4872" w:rsidP="007B257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Задокументовані (затверджені) 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місі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я і цілі діяльності</w:t>
            </w:r>
          </w:p>
        </w:tc>
        <w:tc>
          <w:tcPr>
            <w:tcW w:w="3543" w:type="dxa"/>
          </w:tcPr>
          <w:p w:rsidR="009B7784" w:rsidRPr="00D5409E" w:rsidRDefault="002F4872" w:rsidP="002F487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Сформовані 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місія/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цілі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діяльності організації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2F487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Місія організації </w:t>
            </w:r>
            <w:r w:rsidR="002F4872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затверджена в ОГС,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відповідає Стратегічному плану і глибоко вкорінена в організацію</w:t>
            </w:r>
            <w:r w:rsidR="002F4872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; цілі</w:t>
            </w:r>
            <w:r w:rsidR="002F4872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діяльності</w:t>
            </w:r>
            <w:r w:rsidR="002F4872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визначені і опубліковані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Місія</w:t>
            </w:r>
          </w:p>
          <w:p w:rsidR="002F4872" w:rsidRDefault="002F4872" w:rsidP="002F4872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Статут</w:t>
            </w:r>
          </w:p>
          <w:p w:rsidR="002F4872" w:rsidRPr="00D5409E" w:rsidRDefault="002F4872" w:rsidP="002F4872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Стратегічний план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proofErr w:type="spellStart"/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Вебсайт</w:t>
            </w:r>
            <w:proofErr w:type="spellEnd"/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звіт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Публікації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C4467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Структура управління організацією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274551" w:rsidP="002F487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Є 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незалежне</w:t>
            </w:r>
            <w:r w:rsidR="002F4872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й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активне Правління</w:t>
            </w:r>
            <w:r w:rsidR="002F4872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(або інший орган колективного управління - КОУ)</w:t>
            </w:r>
          </w:p>
        </w:tc>
        <w:tc>
          <w:tcPr>
            <w:tcW w:w="3543" w:type="dxa"/>
          </w:tcPr>
          <w:p w:rsidR="009B7784" w:rsidRPr="00D5409E" w:rsidRDefault="009B7784" w:rsidP="002F487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bookmarkStart w:id="1" w:name="_mpzjoazf3id8" w:colFirst="0" w:colLast="0"/>
            <w:bookmarkStart w:id="2" w:name="_30j0zll" w:colFirst="0" w:colLast="0"/>
            <w:bookmarkEnd w:id="1"/>
            <w:bookmarkEnd w:id="2"/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Готовність і бажання створити незалежне Правління під час реалізації інституційного гранту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2F487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Ефективне Правління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/ КОУ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, яке виконує роль наглядового і стратегічного органу</w:t>
            </w:r>
            <w:r w:rsidR="002F4872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та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звітує вищому керівному органу </w:t>
            </w:r>
            <w:r w:rsidR="002F4872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ОГС -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Загальним зборам 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Статут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Протоколи засідань Правління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/ КОУ</w:t>
            </w:r>
          </w:p>
          <w:p w:rsidR="009B7784" w:rsidRPr="00D5409E" w:rsidRDefault="009B7784" w:rsidP="00AE3115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Інформація про членів Правління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/ КОУ</w:t>
            </w:r>
          </w:p>
        </w:tc>
      </w:tr>
      <w:tr w:rsidR="009B7784" w:rsidRPr="00D5409E" w:rsidTr="009B778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274551" w:rsidP="00C4467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Є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val="uk-UA"/>
              </w:rPr>
              <w:t>незалежні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Загальні збори (ЗЗ)</w:t>
            </w:r>
          </w:p>
        </w:tc>
        <w:tc>
          <w:tcPr>
            <w:tcW w:w="3543" w:type="dxa"/>
            <w:shd w:val="clear" w:color="auto" w:fill="auto"/>
          </w:tcPr>
          <w:p w:rsidR="009B7784" w:rsidRPr="00D5409E" w:rsidRDefault="009B7784" w:rsidP="007B257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Готовність і бажання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скликати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u w:val="single"/>
                <w:lang w:val="uk-UA"/>
              </w:rPr>
              <w:t>незалежні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Загальні збори під час реалізації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інституційного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гранту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9D6E47">
            <w:pPr>
              <w:pStyle w:val="Normal1"/>
              <w:spacing w:after="120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Діючі Загальні збори, які беруть реальну участь в управлінні організацією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Статут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Протоколи зібрань ЗЗ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Інформація про членів ЗЗ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274551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Дієва п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олітика запобігання та врегулювання конфлікту інтересів</w:t>
            </w: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Знати і розуміти, що таке конфлікт інтересів 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7B257A" w:rsidRPr="00D5409E" w:rsidRDefault="007B257A" w:rsidP="007B257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Розроблено п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олітик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у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запобігання та врегулювання конфлікту інтересів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.</w:t>
            </w:r>
          </w:p>
          <w:p w:rsidR="009B7784" w:rsidRPr="00D5409E" w:rsidRDefault="009B7784" w:rsidP="009D6E47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Застосовувати механізми запобігання та врегулювання конфлікту інтересів на практиці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запобігання та врегулювання конфлікту інтересів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Протоколи засідань Правління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Інтерв’ю з членом Правління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Інтерв’ю з виконавчим директором</w:t>
            </w:r>
          </w:p>
          <w:p w:rsidR="009B7784" w:rsidRPr="00D5409E" w:rsidRDefault="009B7784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Інтерв’ю з менеджером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проєкт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у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274551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Належний ю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ридичний статус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ОГС</w:t>
            </w:r>
          </w:p>
        </w:tc>
        <w:tc>
          <w:tcPr>
            <w:tcW w:w="3543" w:type="dxa"/>
          </w:tcPr>
          <w:p w:rsidR="009B7784" w:rsidRPr="00D5409E" w:rsidRDefault="009B7784" w:rsidP="007B257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Реєстрація згідно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вимог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ами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українського законодавства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7B257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Діяльність організації ведеться згідно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 від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коригованим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 перереєстрованим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статутом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Статут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Реєстраційні документи </w:t>
            </w: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Чіткий процес прийняття рішень в організації</w:t>
            </w: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28262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Процедура делегування повноважень, що відповідає розміру організації та видам її діяльності,  існує і використовується на практиці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Статут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Інші документи, що стосуються процесів прийняття рішень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Посадові інструкції</w:t>
            </w:r>
          </w:p>
          <w:p w:rsidR="009B7784" w:rsidRPr="00D5409E" w:rsidRDefault="009B7784" w:rsidP="00460B13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Протоколи засідань Правління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Стратегія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274551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Є с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тратегічний план </w:t>
            </w: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highlight w:val="yellow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7B257A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Розроблено і затверджено Стратегічний план. ОГС 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вимірює результати діяльності, а не заходи, має дієвий план моніторингу і оцінки як складову RAF.</w:t>
            </w:r>
          </w:p>
          <w:p w:rsidR="009B7784" w:rsidRPr="00D5409E" w:rsidRDefault="009B7784" w:rsidP="00460B13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Стратегічний план щорічно переглядається на предмет його виконання, відповідно до проміжних етапів та індикаторів, зафіксованих у RAF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Стратегія</w:t>
            </w:r>
          </w:p>
          <w:p w:rsidR="009B7784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план дій</w:t>
            </w:r>
          </w:p>
          <w:p w:rsidR="007B257A" w:rsidRPr="007B257A" w:rsidRDefault="007B257A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>RAF</w:t>
            </w: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звіт</w:t>
            </w: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Перелік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проєкт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ів / грантова історія </w:t>
            </w:r>
          </w:p>
        </w:tc>
      </w:tr>
      <w:tr w:rsidR="009B7784" w:rsidRPr="00D5409E" w:rsidTr="009B7784">
        <w:trPr>
          <w:trHeight w:val="82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Управління ризиками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274551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Є п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роцедури з управління ризиками</w:t>
            </w: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Використовується процедура управління/ зниження ризиків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274551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Процедура управління ризиками</w:t>
            </w:r>
          </w:p>
          <w:p w:rsidR="00274551" w:rsidRPr="00D5409E" w:rsidRDefault="00274551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Матриця управління ризиками</w:t>
            </w:r>
          </w:p>
        </w:tc>
      </w:tr>
      <w:tr w:rsidR="009B7784" w:rsidRPr="00D5409E" w:rsidTr="009B7784">
        <w:trPr>
          <w:trHeight w:val="14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ендерна рівність/недискримінація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274551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Є 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політики щодо </w:t>
            </w:r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ендерної рівності і недискримінації.</w:t>
            </w:r>
          </w:p>
          <w:p w:rsidR="009B7784" w:rsidRPr="00D5409E" w:rsidRDefault="009B7784" w:rsidP="0028262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Впровадження </w:t>
            </w:r>
            <w:r w:rsidRPr="00D5409E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ендерного / недискримінаційного компоненту у діяльність організації</w:t>
            </w: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274551" w:rsidP="00DD5304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Розроблено п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олітик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у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щодо </w:t>
            </w:r>
            <w:r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ендерної рівності і недискримінації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, яка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застосовується на практиці</w:t>
            </w: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Прагнення </w:t>
            </w:r>
            <w:r w:rsidRPr="00D5409E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ендерного балансу при підборі кадрів та залученні членів керівних органів до діяльності організації </w:t>
            </w:r>
          </w:p>
          <w:p w:rsidR="009B7784" w:rsidRPr="00D5409E" w:rsidRDefault="009B7784" w:rsidP="0028262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Включення, по можливості, </w:t>
            </w:r>
            <w:r w:rsidRPr="00D5409E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ендерного / недискримінаційного компоненту до змістовної діяльності організації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працівників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Політика </w:t>
            </w:r>
            <w:r w:rsidR="00274551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щодо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  <w:r w:rsidRPr="00D5409E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ґ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ендерн</w:t>
            </w:r>
            <w:r w:rsidR="00274551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ої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рівн</w:t>
            </w:r>
            <w:r w:rsidR="00274551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ості /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недискримінаці</w:t>
            </w:r>
            <w:r w:rsidR="00274551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ї</w:t>
            </w: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9B7784" w:rsidRPr="00D5409E" w:rsidTr="009B7784">
        <w:tc>
          <w:tcPr>
            <w:tcW w:w="188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A0A5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МЕНЕДЖМЕНТ  І ОПЕРАЦІЙНА ДІЯЛЬНІСТЬ</w:t>
            </w:r>
          </w:p>
        </w:tc>
        <w:tc>
          <w:tcPr>
            <w:tcW w:w="2524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shd w:val="clear" w:color="auto" w:fill="BFBFBF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9B7784" w:rsidRPr="00D5409E" w:rsidTr="009B7784">
        <w:trPr>
          <w:trHeight w:val="873"/>
        </w:trPr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F43A48">
            <w:pPr>
              <w:pStyle w:val="Normal1"/>
              <w:spacing w:after="120" w:line="240" w:lineRule="auto"/>
              <w:rPr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Річне планування і звітування</w:t>
            </w:r>
          </w:p>
          <w:p w:rsidR="009B7784" w:rsidRPr="00D5409E" w:rsidRDefault="009B7784" w:rsidP="003B68F1">
            <w:pPr>
              <w:jc w:val="center"/>
              <w:rPr>
                <w:lang w:val="uk-UA"/>
              </w:rPr>
            </w:pP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611F31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Використовується і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нструмент самооцінки</w:t>
            </w:r>
          </w:p>
        </w:tc>
        <w:tc>
          <w:tcPr>
            <w:tcW w:w="3543" w:type="dxa"/>
            <w:shd w:val="clear" w:color="auto" w:fill="auto"/>
          </w:tcPr>
          <w:p w:rsidR="009B7784" w:rsidRPr="00D5409E" w:rsidRDefault="009B7784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Результат самооцінки не нижче, ніж 70 балів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3B68F1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Інструмент самооцінки організації</w:t>
            </w:r>
          </w:p>
        </w:tc>
      </w:tr>
      <w:tr w:rsidR="009B7784" w:rsidRPr="00D5409E" w:rsidTr="009B778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Річне планування і звітування</w:t>
            </w:r>
          </w:p>
        </w:tc>
        <w:tc>
          <w:tcPr>
            <w:tcW w:w="3543" w:type="dxa"/>
          </w:tcPr>
          <w:p w:rsidR="009B7784" w:rsidRPr="00D5409E" w:rsidRDefault="009B7784" w:rsidP="003B68F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611F31" w:rsidP="00611F3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Сформовано річний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план діяльності організації, який передбачає перелік результатів за підсумками року, що відповідають Стратегії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3B68F1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Стратегічний план</w:t>
            </w:r>
          </w:p>
          <w:p w:rsidR="009B7784" w:rsidRPr="00D5409E" w:rsidRDefault="009B7784" w:rsidP="003B68F1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план дій</w:t>
            </w:r>
          </w:p>
          <w:p w:rsidR="009B7784" w:rsidRPr="00D5409E" w:rsidRDefault="009B7784" w:rsidP="003B68F1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Річні звіти (за роки</w:t>
            </w:r>
            <w:r w:rsidR="00611F31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інституційного проєкту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)</w:t>
            </w:r>
          </w:p>
          <w:p w:rsidR="009B7784" w:rsidRPr="00D5409E" w:rsidRDefault="009B7784" w:rsidP="003B68F1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Перелік виконаних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проєкт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ів</w:t>
            </w:r>
          </w:p>
        </w:tc>
      </w:tr>
      <w:tr w:rsidR="009B7784" w:rsidRPr="00D5409E" w:rsidTr="009B778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DF1B1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Аналітична складова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611F3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Дослідження </w:t>
            </w:r>
            <w:r w:rsidR="00611F31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ОГС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ґрунтуються на чіткій методології</w:t>
            </w:r>
          </w:p>
        </w:tc>
        <w:tc>
          <w:tcPr>
            <w:tcW w:w="3543" w:type="dxa"/>
            <w:shd w:val="clear" w:color="auto" w:fill="auto"/>
          </w:tcPr>
          <w:p w:rsidR="009B7784" w:rsidRPr="00D5409E" w:rsidRDefault="009B7784" w:rsidP="00DF1B1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8C394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Організація використовує різні методології, </w:t>
            </w:r>
            <w:r w:rsidR="00611F31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які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ч</w:t>
            </w:r>
            <w:r w:rsidR="008C39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ітко пояснюються у публікаціях. Для аналітичних центрів – наявність власних </w:t>
            </w:r>
            <w:proofErr w:type="spellStart"/>
            <w:r w:rsidR="008C39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методологій</w:t>
            </w:r>
            <w:proofErr w:type="spellEnd"/>
            <w:r w:rsidR="008C39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DF1B1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Приклад дослідницьких </w:t>
            </w:r>
            <w:proofErr w:type="spellStart"/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методологій</w:t>
            </w:r>
            <w:proofErr w:type="spellEnd"/>
          </w:p>
        </w:tc>
      </w:tr>
      <w:tr w:rsidR="009B7784" w:rsidRPr="00D5409E" w:rsidTr="009B778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8C3949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Практикується р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ецензування значимих публікацій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(переважно для аналітичних центрів)</w:t>
            </w:r>
          </w:p>
        </w:tc>
        <w:tc>
          <w:tcPr>
            <w:tcW w:w="3543" w:type="dxa"/>
            <w:shd w:val="clear" w:color="auto" w:fill="auto"/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Інструмент анонімного рецензування застосовується для всіх значимих публікацій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рецензування (експертної оцінки продуктів) і приклади оцінених публікацій, перелік експертів, що проводять оцінку</w:t>
            </w:r>
          </w:p>
        </w:tc>
      </w:tr>
      <w:tr w:rsidR="009B7784" w:rsidRPr="00D5409E" w:rsidTr="009B7784">
        <w:tc>
          <w:tcPr>
            <w:tcW w:w="188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Адвокаційна складова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8C3949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Є м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етодологія проведення адвокаційної діяльності</w:t>
            </w:r>
          </w:p>
        </w:tc>
        <w:tc>
          <w:tcPr>
            <w:tcW w:w="3543" w:type="dxa"/>
            <w:shd w:val="clear" w:color="auto" w:fill="auto"/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Адвокаційна діяльність організації ґрунтується на чіткій методології і стратегії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Процедура, методологія проведення адвокаційної діяльності </w:t>
            </w:r>
          </w:p>
        </w:tc>
      </w:tr>
      <w:tr w:rsidR="009B7784" w:rsidRPr="00D5409E" w:rsidTr="004C0FFA">
        <w:trPr>
          <w:trHeight w:val="835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Людські ресурси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та застосування процедур по роботі з персоналом</w:t>
            </w:r>
          </w:p>
        </w:tc>
        <w:tc>
          <w:tcPr>
            <w:tcW w:w="3543" w:type="dxa"/>
          </w:tcPr>
          <w:p w:rsidR="009B7784" w:rsidRPr="00D5409E" w:rsidRDefault="009B7784" w:rsidP="00763D4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Прийом на роботу працівників та консультантів на контрактній основі (підписаними угодами)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8221DD" w:rsidRDefault="009B7784" w:rsidP="00F43A4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</w:pPr>
            <w:r w:rsidRPr="008221D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  <w:t>Наявність політики та п</w:t>
            </w:r>
            <w:r w:rsidR="001A40FA" w:rsidRPr="008221D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  <w:t>роцедур по роботі з персоналом, що відображає принципи недискримінації та нетерпимості до експлуатації дитячої праці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4C0FF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по роботі з персоналом</w:t>
            </w:r>
          </w:p>
        </w:tc>
      </w:tr>
      <w:tr w:rsidR="009B7784" w:rsidRPr="00D5409E" w:rsidTr="004C0FFA">
        <w:trPr>
          <w:trHeight w:val="61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8C394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Персонал</w:t>
            </w:r>
            <w:r w:rsidR="008C3949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, в тому числі у штаті</w:t>
            </w:r>
          </w:p>
        </w:tc>
        <w:tc>
          <w:tcPr>
            <w:tcW w:w="3543" w:type="dxa"/>
          </w:tcPr>
          <w:p w:rsidR="009B7784" w:rsidRPr="00D5409E" w:rsidRDefault="008C3949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8C3949" w:rsidP="008C394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Виконавчий директор та бухгалтер є штатними працівниками організації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4C0FFA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Штатний розпис</w:t>
            </w:r>
            <w:r w:rsidR="004C0FFA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</w:p>
          <w:p w:rsidR="009B7784" w:rsidRPr="00D5409E" w:rsidRDefault="004C0FFA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Посадові інструкції</w:t>
            </w:r>
          </w:p>
        </w:tc>
      </w:tr>
      <w:tr w:rsidR="009B7784" w:rsidRPr="00D5409E" w:rsidTr="009B7784">
        <w:trPr>
          <w:trHeight w:val="148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D482D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Організаційна структура 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D482D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Затверджена організаційна структура</w:t>
            </w:r>
            <w:r w:rsidR="004C0FF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 чітким розподілом повноважень, є офіс організації</w:t>
            </w:r>
          </w:p>
        </w:tc>
        <w:tc>
          <w:tcPr>
            <w:tcW w:w="3543" w:type="dxa"/>
          </w:tcPr>
          <w:p w:rsidR="009B7784" w:rsidRPr="00D5409E" w:rsidRDefault="009B7784" w:rsidP="00BD482D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персоналу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4C0FFA" w:rsidP="004C0FF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Затверджен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організаційн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у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структур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у, зрозумілий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порядок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розподілу і делегування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повноважень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, є офіс (за потреби)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D482D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Організаційна структура</w:t>
            </w:r>
          </w:p>
          <w:p w:rsidR="009B7784" w:rsidRPr="00D5409E" w:rsidRDefault="009B7784" w:rsidP="00BD482D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</w:tc>
      </w:tr>
      <w:tr w:rsidR="009B7784" w:rsidRPr="00D5409E" w:rsidTr="004C0FFA">
        <w:trPr>
          <w:trHeight w:val="1727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Тарифна сітка</w:t>
            </w: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8221DD" w:rsidRDefault="009B7784" w:rsidP="008E053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</w:pPr>
            <w:r w:rsidRPr="008221D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  <w:t xml:space="preserve">Розроблена тарифна сітка для всіх посад із переліком необхідних компетенцій для підвищення заробітної платні /гонорару. </w:t>
            </w:r>
          </w:p>
          <w:p w:rsidR="009B7784" w:rsidRPr="008221DD" w:rsidRDefault="009B7784" w:rsidP="008E053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</w:pPr>
            <w:r w:rsidRPr="008221D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  <w:t>Тарифна сітка передбачає поступове підвищення зарплат і не допускає значних розбіжностей в оплаті праці керівництва та програмного персоналу</w:t>
            </w:r>
            <w:r w:rsidR="009D2341" w:rsidRPr="008221D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  <w:t>, а також чоловіків і жінок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Тарифна сітка</w:t>
            </w:r>
          </w:p>
          <w:p w:rsidR="009B7784" w:rsidRPr="00D5409E" w:rsidRDefault="009B7784" w:rsidP="004C0FF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Підтвердження перерахування </w:t>
            </w:r>
            <w:proofErr w:type="spellStart"/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заробітньої</w:t>
            </w:r>
            <w:proofErr w:type="spellEnd"/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платні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Посадові інструкції</w:t>
            </w: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посадових інструкцій для всього персоналу.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Посадові інструкції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Зовнішні контракти і донори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Грантова історія</w:t>
            </w:r>
          </w:p>
        </w:tc>
        <w:tc>
          <w:tcPr>
            <w:tcW w:w="3543" w:type="dxa"/>
          </w:tcPr>
          <w:p w:rsidR="009B7784" w:rsidRPr="00D5409E" w:rsidRDefault="009B7784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мережі партнерів, необхідних для успішної реалізації програмної діяльності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770DCB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донорів</w:t>
            </w:r>
          </w:p>
          <w:p w:rsidR="009B7784" w:rsidRPr="00D5409E" w:rsidRDefault="009B7784" w:rsidP="00770DCB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Перелік поточних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проєкт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ів/програм із зазначенням донорів</w:t>
            </w:r>
          </w:p>
          <w:p w:rsidR="009B7784" w:rsidRPr="00D5409E" w:rsidRDefault="009B7784" w:rsidP="00770DCB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партнерів</w:t>
            </w:r>
          </w:p>
        </w:tc>
      </w:tr>
      <w:tr w:rsidR="009B7784" w:rsidRPr="00D5409E" w:rsidTr="00005E16">
        <w:trPr>
          <w:trHeight w:val="1451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Програмний менеджмент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сталого підходу до забезпечення ефективної реалізації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проєкт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ів</w:t>
            </w:r>
          </w:p>
        </w:tc>
        <w:tc>
          <w:tcPr>
            <w:tcW w:w="3543" w:type="dxa"/>
          </w:tcPr>
          <w:p w:rsidR="009B7784" w:rsidRPr="00D5409E" w:rsidRDefault="009B7784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певних шаблонів та інструментів для планування та управління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проєкт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ами.</w:t>
            </w:r>
          </w:p>
          <w:p w:rsidR="009B7784" w:rsidRPr="00D5409E" w:rsidRDefault="009B7784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сервера для спільного зберігання робочих </w:t>
            </w:r>
            <w:r w:rsidR="001A40F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проєктних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матеріалів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770DCB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Бюджети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проєкт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ів та звіти (приклад)</w:t>
            </w:r>
          </w:p>
          <w:p w:rsidR="009B7784" w:rsidRPr="00D5409E" w:rsidRDefault="009B7784" w:rsidP="00005E16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Задокументоване управління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проєкт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ами</w:t>
            </w:r>
          </w:p>
        </w:tc>
      </w:tr>
      <w:tr w:rsidR="009B7784" w:rsidRPr="00D5409E" w:rsidTr="001A40FA">
        <w:trPr>
          <w:trHeight w:val="922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Комунікація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1A40FA" w:rsidP="001A40F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Є к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омунікаційна стратегія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та комунікаційна політика ОГС</w:t>
            </w: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1A40FA" w:rsidP="001A40F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Сформовано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комунікаційн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у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стратегі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ю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, що включає внутрішні та зовнішні комунікації і відповідає Стратегічному плану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; розроблено комунікаційну політику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Default="009B7784" w:rsidP="001A40F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Комунікаційна стратегія</w:t>
            </w:r>
          </w:p>
          <w:p w:rsidR="001A40FA" w:rsidRPr="00D5409E" w:rsidRDefault="001A40FA" w:rsidP="001A40FA">
            <w:pPr>
              <w:pStyle w:val="Normal1"/>
              <w:numPr>
                <w:ilvl w:val="0"/>
                <w:numId w:val="2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Комунікаційна політика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B678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Антикорупційний компонент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та дотримання антикорупційної політики </w:t>
            </w: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8221DD" w:rsidRDefault="009B7784" w:rsidP="001A40F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</w:pPr>
            <w:r w:rsidRPr="008221D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  <w:t>Персонал і консультанти організації дотримуються антикорупційної політики, знають як повідомити про порушення</w:t>
            </w:r>
            <w:r w:rsidR="001A40FA" w:rsidRPr="008221D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  <w:t xml:space="preserve"> та потенційні ризики корупції</w:t>
            </w:r>
            <w:r w:rsidRPr="008221D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A21456">
            <w:pPr>
              <w:pStyle w:val="Normal1"/>
              <w:spacing w:after="120" w:line="240" w:lineRule="auto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Антикорупційна політика</w:t>
            </w:r>
          </w:p>
        </w:tc>
      </w:tr>
      <w:tr w:rsidR="009B7784" w:rsidRPr="00D5409E" w:rsidTr="009B7784">
        <w:trPr>
          <w:trHeight w:val="140"/>
        </w:trPr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1A40FA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Дружнє ставлення до довкілля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і дотримання організаційної політики щодо обмеження негативного впливу на довкілля</w:t>
            </w:r>
          </w:p>
        </w:tc>
        <w:tc>
          <w:tcPr>
            <w:tcW w:w="3543" w:type="dxa"/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938B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Зеленого офісу застосовується на практиці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938B9">
            <w:pPr>
              <w:pStyle w:val="Normal1"/>
              <w:numPr>
                <w:ilvl w:val="0"/>
                <w:numId w:val="4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Політика Зеленого офісу</w:t>
            </w:r>
          </w:p>
        </w:tc>
      </w:tr>
      <w:tr w:rsidR="009B7784" w:rsidRPr="00D5409E" w:rsidTr="009B7784">
        <w:tc>
          <w:tcPr>
            <w:tcW w:w="188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B678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ФІНАНСОВИЙ МЕНЕДЖМЕНТ </w:t>
            </w:r>
          </w:p>
        </w:tc>
        <w:tc>
          <w:tcPr>
            <w:tcW w:w="2524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shd w:val="clear" w:color="auto" w:fill="BFBFBF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Загальні фінансові системи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F43A4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затверджених фінансових положень (фінансова політика або інше)</w:t>
            </w:r>
          </w:p>
        </w:tc>
        <w:tc>
          <w:tcPr>
            <w:tcW w:w="3543" w:type="dxa"/>
          </w:tcPr>
          <w:p w:rsidR="009B7784" w:rsidRPr="00D5409E" w:rsidRDefault="009B7784" w:rsidP="009D234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базових процедур фінансового </w:t>
            </w:r>
            <w:r w:rsidR="009D2341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менеджменту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Фінансова політика застосовується на практиці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Фінансова політика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Фінансова звітність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чітких, прозорих і надійних фінансових звітів</w:t>
            </w:r>
          </w:p>
        </w:tc>
        <w:tc>
          <w:tcPr>
            <w:tcW w:w="3543" w:type="dxa"/>
            <w:shd w:val="clear" w:color="auto" w:fill="auto"/>
          </w:tcPr>
          <w:p w:rsidR="009B7784" w:rsidRPr="00D5409E" w:rsidRDefault="009B7784" w:rsidP="0010027E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Належна та своєчасна фінансова звітність згідно з вимогами чинного законодавства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Організація складає баланс і готує звіт про фінансові результати, що затверджуються Правлінням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7C5EF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Річні фінансові звіти за останні три роки (що подаються у ДПС)</w:t>
            </w:r>
          </w:p>
          <w:p w:rsidR="009B7784" w:rsidRPr="00D5409E" w:rsidRDefault="009B7784" w:rsidP="007C5EF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Аудиторський звіт (відповідно до міжнародних стандартів)</w:t>
            </w:r>
          </w:p>
          <w:p w:rsidR="009B7784" w:rsidRPr="00D5409E" w:rsidRDefault="009B7784" w:rsidP="007C5EF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>Положення про фінансову звітність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D5562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Авторизація платежів та переказ коштів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D5562C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Високий рівень внутрішнього контролю за авторизацією платежів та переказом коштів  </w:t>
            </w:r>
          </w:p>
        </w:tc>
        <w:tc>
          <w:tcPr>
            <w:tcW w:w="3543" w:type="dxa"/>
            <w:shd w:val="clear" w:color="auto" w:fill="auto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Базовий рівень внутрішнього контролю за авторизацією платежів та переказом коштів 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D2341" w:rsidP="009D2341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Належний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рівень внутрішнього контролю за авторизаці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єю платежів та переказом коштів. Наявність двох фінансових підписів.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Розроблено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політик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у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відряджень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4F248E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осіб, що мають право підпису платіжних документів</w:t>
            </w:r>
          </w:p>
          <w:p w:rsidR="009B7784" w:rsidRPr="00D5409E" w:rsidRDefault="009B7784" w:rsidP="004F248E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авторизації платежів</w:t>
            </w:r>
          </w:p>
          <w:p w:rsidR="009B7784" w:rsidRPr="009D2341" w:rsidRDefault="009B7784" w:rsidP="004F248E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Копії авторизованих рахунків </w:t>
            </w:r>
          </w:p>
          <w:p w:rsidR="009B7784" w:rsidRPr="00D5409E" w:rsidRDefault="009D2341" w:rsidP="009D2341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9D2341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Політика </w:t>
            </w:r>
            <w:proofErr w:type="spellStart"/>
            <w:r w:rsidRPr="009D2341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відряджень</w:t>
            </w:r>
            <w:proofErr w:type="spellEnd"/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консолідований бюджет</w:t>
            </w:r>
          </w:p>
        </w:tc>
        <w:tc>
          <w:tcPr>
            <w:tcW w:w="3543" w:type="dxa"/>
            <w:shd w:val="clear" w:color="auto" w:fill="auto"/>
          </w:tcPr>
          <w:p w:rsidR="009B7784" w:rsidRPr="00D5409E" w:rsidRDefault="009B7784" w:rsidP="001D54C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</w:t>
            </w:r>
            <w:r w:rsidR="001D54C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окремих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бюджетів на кожен </w:t>
            </w:r>
            <w:r w:rsidR="007B257A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проєкт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A30A92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бюджетної політики та проведення регулярного бюджетного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 xml:space="preserve">моніторингу на рівні Правління та керівництва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>Річний бюджет</w:t>
            </w:r>
          </w:p>
          <w:p w:rsidR="009B7784" w:rsidRPr="00D5409E" w:rsidRDefault="007B257A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Проєкт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ний</w:t>
            </w:r>
            <w:proofErr w:type="spellEnd"/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бюджет</w:t>
            </w:r>
          </w:p>
          <w:p w:rsidR="009B7784" w:rsidRPr="00D5409E" w:rsidRDefault="009B7784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lastRenderedPageBreak/>
              <w:t>Інтерв’ю з фінансовим директором</w:t>
            </w:r>
          </w:p>
          <w:p w:rsidR="009B7784" w:rsidRPr="00D5409E" w:rsidRDefault="009B7784" w:rsidP="003B29F0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Інтерв’ю з членом Правління</w:t>
            </w:r>
          </w:p>
          <w:p w:rsidR="009B7784" w:rsidRPr="00D5409E" w:rsidRDefault="009B7784" w:rsidP="008A7BBC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Річний бюджет організації за останні три роки (первинний та переглянутий) 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Фінансування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Диверсифікація джерел фінансування</w:t>
            </w: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shd w:val="clear" w:color="auto" w:fill="auto"/>
          </w:tcPr>
          <w:p w:rsidR="009B7784" w:rsidRPr="00D5409E" w:rsidRDefault="001D54C8" w:rsidP="001D54C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легітимних 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джерел фінансування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Відсоток фінансування з інших джерел (не кошти інституційного гранту) становить не менше ніж 30</w:t>
            </w:r>
            <w:r w:rsidR="001D54C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% від річного бюджету</w:t>
            </w:r>
          </w:p>
          <w:p w:rsidR="009B7784" w:rsidRPr="00D5409E" w:rsidRDefault="009B7784" w:rsidP="001D54C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За основу береться загальний бюджет організації 20</w:t>
            </w:r>
            <w:r w:rsidR="001D54C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25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Річний бюджет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Перелік грантів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bookmarkStart w:id="3" w:name="_GoBack" w:colFirst="3" w:colLast="3"/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Закупівлі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2E1B5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та дотримання політики закупівель товарів та послуг</w:t>
            </w: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8221DD" w:rsidRDefault="009B7784" w:rsidP="00CD5CD0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</w:pPr>
            <w:r w:rsidRPr="008221D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  <w:t>Наявність задокументованої та затвердженої політики закупівель</w:t>
            </w:r>
            <w:r w:rsidR="001D54C8" w:rsidRPr="008221DD">
              <w:rPr>
                <w:rFonts w:asciiTheme="majorHAnsi" w:hAnsiTheme="majorHAnsi" w:cs="Times New Roman"/>
                <w:color w:val="auto"/>
                <w:sz w:val="20"/>
                <w:szCs w:val="20"/>
                <w:lang w:val="uk-UA"/>
              </w:rPr>
              <w:t xml:space="preserve"> (за основу беруться наразі вимоги донора)</w:t>
            </w:r>
          </w:p>
          <w:p w:rsidR="009B7784" w:rsidRPr="008221DD" w:rsidRDefault="009B7784" w:rsidP="00CD5CD0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</w:pPr>
            <w:r w:rsidRPr="008221DD"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val="uk-UA"/>
              </w:rPr>
              <w:t>Дотримання політики закупівель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закупівель товарів та послуг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Протокол засідань Закупівельного комітету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</w:tc>
      </w:tr>
      <w:bookmarkEnd w:id="3"/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>Аудит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Успішний досвід проходження аудиторських перевірок </w:t>
            </w:r>
          </w:p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Не передбачено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1D54C8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політики проведення аудиту або встановленої процедури проведення регулярних контрольно-ревізійних перевірок згідно </w:t>
            </w:r>
            <w:r w:rsidR="001D54C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зі 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стандарт</w:t>
            </w:r>
            <w:r w:rsidR="001D54C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ами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IFAC</w:t>
            </w:r>
            <w:r w:rsidR="001D54C8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,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з чітким ТЗ для аудитора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Політика проведення аудиту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Аудиторські звіти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B52B04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t xml:space="preserve">Бухгалтерський облік </w:t>
            </w:r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Система бухгалтерського обліку</w:t>
            </w:r>
          </w:p>
        </w:tc>
        <w:tc>
          <w:tcPr>
            <w:tcW w:w="3543" w:type="dxa"/>
          </w:tcPr>
          <w:p w:rsidR="009B7784" w:rsidRPr="00D5409E" w:rsidRDefault="009B7784" w:rsidP="00BA6D15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Наявність кваліфікованого бухгалтера, бухгалтерський облік здійснюється згідно </w:t>
            </w:r>
            <w:r w:rsidR="00BA6D15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із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 </w:t>
            </w:r>
            <w:r w:rsidR="00BA6D15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українським законодавством</w:t>
            </w: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BA6D15" w:rsidRDefault="00BA6D15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Сформована облікова політика. </w:t>
            </w:r>
            <w:r w:rsidR="009B7784"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Бухгалтерський облік ведеться за принципом нарахувань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. </w:t>
            </w:r>
          </w:p>
          <w:p w:rsidR="009B7784" w:rsidRPr="00D5409E" w:rsidRDefault="009B7784" w:rsidP="00BA6D15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Облік транзакцій ведеться в профе</w:t>
            </w:r>
            <w:r w:rsidR="00BA6D15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сійній бухгалтерській програмі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Облікова політика</w:t>
            </w:r>
            <w:r w:rsidRPr="00D5409E">
              <w:rPr>
                <w:rFonts w:asciiTheme="majorHAnsi" w:hAnsiTheme="majorHAnsi" w:cs="Times New Roman"/>
                <w:sz w:val="20"/>
                <w:szCs w:val="20"/>
                <w:lang w:val="uk-UA"/>
              </w:rPr>
              <w:t xml:space="preserve"> 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Бухгалтерська програма </w:t>
            </w:r>
          </w:p>
          <w:p w:rsidR="009B7784" w:rsidRPr="00D5409E" w:rsidRDefault="009B7784" w:rsidP="00BA6D15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r w:rsidRPr="00BA6D15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Посадова інструкція бухгалтера </w:t>
            </w:r>
          </w:p>
        </w:tc>
      </w:tr>
      <w:tr w:rsidR="009B7784" w:rsidRPr="00D5409E" w:rsidTr="009B7784">
        <w:tc>
          <w:tcPr>
            <w:tcW w:w="18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proofErr w:type="spellStart"/>
            <w:r w:rsidRPr="00D5409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uk-UA"/>
              </w:rPr>
              <w:lastRenderedPageBreak/>
              <w:t>Фандрейзинг</w:t>
            </w:r>
            <w:proofErr w:type="spellEnd"/>
          </w:p>
        </w:tc>
        <w:tc>
          <w:tcPr>
            <w:tcW w:w="252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F854F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та дотримання фандрейзингового плану</w:t>
            </w:r>
          </w:p>
        </w:tc>
        <w:tc>
          <w:tcPr>
            <w:tcW w:w="3543" w:type="dxa"/>
          </w:tcPr>
          <w:p w:rsidR="009B7784" w:rsidRPr="00D5409E" w:rsidRDefault="009B7784" w:rsidP="0051635A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Базовий перелік потенційних джерел фінансування</w:t>
            </w:r>
          </w:p>
        </w:tc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F854F9">
            <w:pPr>
              <w:pStyle w:val="Normal1"/>
              <w:spacing w:after="12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</w:pPr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Наявність фандрейзингового плану та штатного працівника, відповідального за збір коштів</w:t>
            </w:r>
          </w:p>
        </w:tc>
        <w:tc>
          <w:tcPr>
            <w:tcW w:w="25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  <w:proofErr w:type="spellStart"/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>Фандрейзинговий</w:t>
            </w:r>
            <w:proofErr w:type="spellEnd"/>
            <w:r w:rsidRPr="00D5409E">
              <w:rPr>
                <w:rFonts w:asciiTheme="majorHAnsi" w:eastAsia="Times New Roman" w:hAnsiTheme="majorHAnsi" w:cs="Times New Roman"/>
                <w:sz w:val="20"/>
                <w:szCs w:val="20"/>
                <w:lang w:val="uk-UA"/>
              </w:rPr>
              <w:t xml:space="preserve"> план</w:t>
            </w:r>
          </w:p>
          <w:p w:rsidR="009B7784" w:rsidRPr="00D5409E" w:rsidRDefault="009B7784" w:rsidP="0051635A">
            <w:pPr>
              <w:pStyle w:val="Normal1"/>
              <w:numPr>
                <w:ilvl w:val="0"/>
                <w:numId w:val="3"/>
              </w:numPr>
              <w:spacing w:after="120" w:line="240" w:lineRule="auto"/>
              <w:ind w:left="0" w:hanging="359"/>
              <w:contextualSpacing/>
              <w:rPr>
                <w:rFonts w:asciiTheme="majorHAnsi" w:hAnsiTheme="majorHAnsi" w:cs="Times New Roman"/>
                <w:sz w:val="20"/>
                <w:szCs w:val="20"/>
                <w:lang w:val="uk-UA"/>
              </w:rPr>
            </w:pPr>
          </w:p>
        </w:tc>
      </w:tr>
    </w:tbl>
    <w:p w:rsidR="00187677" w:rsidRPr="00D5409E" w:rsidRDefault="00187677" w:rsidP="0051635A">
      <w:pPr>
        <w:pStyle w:val="Normal1"/>
        <w:spacing w:after="120" w:line="259" w:lineRule="auto"/>
        <w:rPr>
          <w:rFonts w:asciiTheme="majorHAnsi" w:eastAsia="Times New Roman" w:hAnsiTheme="majorHAnsi" w:cs="Times New Roman"/>
          <w:sz w:val="20"/>
          <w:szCs w:val="20"/>
          <w:lang w:val="uk-UA"/>
        </w:rPr>
      </w:pPr>
    </w:p>
    <w:p w:rsidR="00DF3525" w:rsidRPr="00D5409E" w:rsidRDefault="00DF3525">
      <w:pPr>
        <w:pStyle w:val="Normal1"/>
        <w:spacing w:after="120" w:line="259" w:lineRule="auto"/>
        <w:rPr>
          <w:rFonts w:asciiTheme="majorHAnsi" w:eastAsia="Times New Roman" w:hAnsiTheme="majorHAnsi" w:cs="Times New Roman"/>
          <w:sz w:val="20"/>
          <w:szCs w:val="20"/>
          <w:lang w:val="uk-UA"/>
        </w:rPr>
      </w:pPr>
    </w:p>
    <w:sectPr w:rsidR="00DF3525" w:rsidRPr="00D5409E" w:rsidSect="00345255">
      <w:footerReference w:type="default" r:id="rId8"/>
      <w:pgSz w:w="16840" w:h="11907" w:orient="landscape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A7" w:rsidRDefault="009B6EA7" w:rsidP="00345255">
      <w:pPr>
        <w:spacing w:after="0" w:line="240" w:lineRule="auto"/>
      </w:pPr>
      <w:r>
        <w:separator/>
      </w:r>
    </w:p>
  </w:endnote>
  <w:endnote w:type="continuationSeparator" w:id="0">
    <w:p w:rsidR="009B6EA7" w:rsidRDefault="009B6EA7" w:rsidP="0034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105975"/>
      <w:docPartObj>
        <w:docPartGallery w:val="Page Numbers (Bottom of Page)"/>
        <w:docPartUnique/>
      </w:docPartObj>
    </w:sdtPr>
    <w:sdtEndPr/>
    <w:sdtContent>
      <w:p w:rsidR="00345255" w:rsidRDefault="00ED4D62">
        <w:pPr>
          <w:pStyle w:val="Footer"/>
          <w:jc w:val="right"/>
        </w:pPr>
        <w:r>
          <w:fldChar w:fldCharType="begin"/>
        </w:r>
        <w:r w:rsidR="00345255">
          <w:instrText xml:space="preserve"> PAGE   \* MERGEFORMAT </w:instrText>
        </w:r>
        <w:r>
          <w:fldChar w:fldCharType="separate"/>
        </w:r>
        <w:r w:rsidR="008221DD">
          <w:rPr>
            <w:noProof/>
          </w:rPr>
          <w:t>8</w:t>
        </w:r>
        <w:r>
          <w:fldChar w:fldCharType="end"/>
        </w:r>
      </w:p>
    </w:sdtContent>
  </w:sdt>
  <w:p w:rsidR="00345255" w:rsidRDefault="00345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A7" w:rsidRDefault="009B6EA7" w:rsidP="00345255">
      <w:pPr>
        <w:spacing w:after="0" w:line="240" w:lineRule="auto"/>
      </w:pPr>
      <w:r>
        <w:separator/>
      </w:r>
    </w:p>
  </w:footnote>
  <w:footnote w:type="continuationSeparator" w:id="0">
    <w:p w:rsidR="009B6EA7" w:rsidRDefault="009B6EA7" w:rsidP="00345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1D21"/>
    <w:multiLevelType w:val="multilevel"/>
    <w:tmpl w:val="6E0E718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E1F678B"/>
    <w:multiLevelType w:val="multilevel"/>
    <w:tmpl w:val="17F46C4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B6242E3"/>
    <w:multiLevelType w:val="hybridMultilevel"/>
    <w:tmpl w:val="96CE0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7270F"/>
    <w:multiLevelType w:val="multilevel"/>
    <w:tmpl w:val="39B06E0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EE730CE"/>
    <w:multiLevelType w:val="multilevel"/>
    <w:tmpl w:val="0D7829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77"/>
    <w:rsid w:val="00005E16"/>
    <w:rsid w:val="000477B0"/>
    <w:rsid w:val="0005120F"/>
    <w:rsid w:val="00054756"/>
    <w:rsid w:val="000B06C4"/>
    <w:rsid w:val="000B1B33"/>
    <w:rsid w:val="000F1D79"/>
    <w:rsid w:val="0010027E"/>
    <w:rsid w:val="00134017"/>
    <w:rsid w:val="00136F5E"/>
    <w:rsid w:val="00187677"/>
    <w:rsid w:val="001A40FA"/>
    <w:rsid w:val="001D54C8"/>
    <w:rsid w:val="001E3F71"/>
    <w:rsid w:val="00227264"/>
    <w:rsid w:val="00234E18"/>
    <w:rsid w:val="00263AB9"/>
    <w:rsid w:val="00274551"/>
    <w:rsid w:val="0028262A"/>
    <w:rsid w:val="002976B6"/>
    <w:rsid w:val="002E1B58"/>
    <w:rsid w:val="002E6946"/>
    <w:rsid w:val="002E73DF"/>
    <w:rsid w:val="002F4872"/>
    <w:rsid w:val="00345255"/>
    <w:rsid w:val="00370C0F"/>
    <w:rsid w:val="00383759"/>
    <w:rsid w:val="003A396D"/>
    <w:rsid w:val="003A5A44"/>
    <w:rsid w:val="003B0DA9"/>
    <w:rsid w:val="003B29F0"/>
    <w:rsid w:val="003C1962"/>
    <w:rsid w:val="003F6437"/>
    <w:rsid w:val="0043743E"/>
    <w:rsid w:val="00460B13"/>
    <w:rsid w:val="0046307E"/>
    <w:rsid w:val="004C0FFA"/>
    <w:rsid w:val="004E1221"/>
    <w:rsid w:val="004F248E"/>
    <w:rsid w:val="005111E5"/>
    <w:rsid w:val="0051635A"/>
    <w:rsid w:val="00522856"/>
    <w:rsid w:val="00525EE2"/>
    <w:rsid w:val="00530521"/>
    <w:rsid w:val="005466F8"/>
    <w:rsid w:val="00552545"/>
    <w:rsid w:val="00552DB3"/>
    <w:rsid w:val="005635E9"/>
    <w:rsid w:val="005B7308"/>
    <w:rsid w:val="005B7FE6"/>
    <w:rsid w:val="00611F31"/>
    <w:rsid w:val="0061747A"/>
    <w:rsid w:val="00632060"/>
    <w:rsid w:val="0063551F"/>
    <w:rsid w:val="0064549E"/>
    <w:rsid w:val="00671E52"/>
    <w:rsid w:val="0068553A"/>
    <w:rsid w:val="006A7E5C"/>
    <w:rsid w:val="00713A69"/>
    <w:rsid w:val="007256FF"/>
    <w:rsid w:val="007410D1"/>
    <w:rsid w:val="00763D49"/>
    <w:rsid w:val="007640DC"/>
    <w:rsid w:val="0078671A"/>
    <w:rsid w:val="00790141"/>
    <w:rsid w:val="007A2E54"/>
    <w:rsid w:val="007B257A"/>
    <w:rsid w:val="007C0CE5"/>
    <w:rsid w:val="007C5EFC"/>
    <w:rsid w:val="007E308D"/>
    <w:rsid w:val="0081765A"/>
    <w:rsid w:val="008221DD"/>
    <w:rsid w:val="00856ADC"/>
    <w:rsid w:val="00857304"/>
    <w:rsid w:val="008A6765"/>
    <w:rsid w:val="008A7BBC"/>
    <w:rsid w:val="008C3949"/>
    <w:rsid w:val="008E0539"/>
    <w:rsid w:val="008E7DD5"/>
    <w:rsid w:val="009348F7"/>
    <w:rsid w:val="00946841"/>
    <w:rsid w:val="009A4E96"/>
    <w:rsid w:val="009B6EA7"/>
    <w:rsid w:val="009B7784"/>
    <w:rsid w:val="009C00D0"/>
    <w:rsid w:val="009D2341"/>
    <w:rsid w:val="009D6E47"/>
    <w:rsid w:val="009E1D1B"/>
    <w:rsid w:val="00A022B4"/>
    <w:rsid w:val="00A07F5D"/>
    <w:rsid w:val="00A21456"/>
    <w:rsid w:val="00A30A92"/>
    <w:rsid w:val="00A44911"/>
    <w:rsid w:val="00A7730F"/>
    <w:rsid w:val="00AA6ED3"/>
    <w:rsid w:val="00AB5D7B"/>
    <w:rsid w:val="00AD47FE"/>
    <w:rsid w:val="00AE3115"/>
    <w:rsid w:val="00B21175"/>
    <w:rsid w:val="00B314D2"/>
    <w:rsid w:val="00B52B04"/>
    <w:rsid w:val="00BA0A5C"/>
    <w:rsid w:val="00BA6D15"/>
    <w:rsid w:val="00BB678C"/>
    <w:rsid w:val="00C2547C"/>
    <w:rsid w:val="00C44678"/>
    <w:rsid w:val="00C515C9"/>
    <w:rsid w:val="00C630B0"/>
    <w:rsid w:val="00C91553"/>
    <w:rsid w:val="00CD5CD0"/>
    <w:rsid w:val="00D26557"/>
    <w:rsid w:val="00D5409E"/>
    <w:rsid w:val="00D5562C"/>
    <w:rsid w:val="00DD5304"/>
    <w:rsid w:val="00DF3525"/>
    <w:rsid w:val="00E23B0F"/>
    <w:rsid w:val="00E40D4B"/>
    <w:rsid w:val="00E42A70"/>
    <w:rsid w:val="00E854AE"/>
    <w:rsid w:val="00EB6790"/>
    <w:rsid w:val="00ED4D62"/>
    <w:rsid w:val="00EE1036"/>
    <w:rsid w:val="00EF7FCB"/>
    <w:rsid w:val="00F42D62"/>
    <w:rsid w:val="00F43A48"/>
    <w:rsid w:val="00F466DE"/>
    <w:rsid w:val="00F54FA3"/>
    <w:rsid w:val="00F73112"/>
    <w:rsid w:val="00F854F9"/>
    <w:rsid w:val="00FA296A"/>
    <w:rsid w:val="00FB48BB"/>
    <w:rsid w:val="00FC0F48"/>
    <w:rsid w:val="00FC552A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21E70-0EB8-44F7-B267-58401397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141"/>
  </w:style>
  <w:style w:type="paragraph" w:styleId="Heading1">
    <w:name w:val="heading 1"/>
    <w:basedOn w:val="Normal1"/>
    <w:next w:val="Normal1"/>
    <w:rsid w:val="00790141"/>
    <w:pPr>
      <w:keepNext/>
      <w:keepLines/>
      <w:spacing w:before="480" w:after="120"/>
      <w:contextualSpacing/>
      <w:outlineLvl w:val="0"/>
    </w:pPr>
    <w:rPr>
      <w:rFonts w:ascii="Arial" w:eastAsia="Arial" w:hAnsi="Arial" w:cs="Arial"/>
      <w:b/>
      <w:sz w:val="48"/>
      <w:szCs w:val="48"/>
    </w:rPr>
  </w:style>
  <w:style w:type="paragraph" w:styleId="Heading2">
    <w:name w:val="heading 2"/>
    <w:basedOn w:val="Normal1"/>
    <w:next w:val="Normal1"/>
    <w:rsid w:val="00790141"/>
    <w:pPr>
      <w:keepNext/>
      <w:keepLines/>
      <w:spacing w:before="360" w:after="80"/>
      <w:contextualSpacing/>
      <w:outlineLvl w:val="1"/>
    </w:pPr>
    <w:rPr>
      <w:rFonts w:ascii="Arial" w:eastAsia="Arial" w:hAnsi="Arial" w:cs="Arial"/>
      <w:b/>
      <w:sz w:val="36"/>
      <w:szCs w:val="36"/>
    </w:rPr>
  </w:style>
  <w:style w:type="paragraph" w:styleId="Heading3">
    <w:name w:val="heading 3"/>
    <w:basedOn w:val="Normal1"/>
    <w:next w:val="Normal1"/>
    <w:rsid w:val="00790141"/>
    <w:pPr>
      <w:keepNext/>
      <w:keepLines/>
      <w:spacing w:before="280" w:after="80"/>
      <w:contextualSpacing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1"/>
    <w:next w:val="Normal1"/>
    <w:rsid w:val="00790141"/>
    <w:pPr>
      <w:keepNext/>
      <w:keepLines/>
      <w:spacing w:before="240" w:after="40"/>
      <w:contextualSpacing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1"/>
    <w:next w:val="Normal1"/>
    <w:rsid w:val="00790141"/>
    <w:pPr>
      <w:keepNext/>
      <w:keepLines/>
      <w:spacing w:before="220" w:after="40"/>
      <w:contextualSpacing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1"/>
    <w:next w:val="Normal1"/>
    <w:rsid w:val="00790141"/>
    <w:pPr>
      <w:keepNext/>
      <w:keepLines/>
      <w:spacing w:before="200" w:after="40"/>
      <w:contextualSpacing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90141"/>
  </w:style>
  <w:style w:type="paragraph" w:styleId="Title">
    <w:name w:val="Title"/>
    <w:basedOn w:val="Normal1"/>
    <w:next w:val="Normal1"/>
    <w:rsid w:val="00790141"/>
    <w:pPr>
      <w:keepNext/>
      <w:keepLines/>
      <w:spacing w:before="480" w:after="120"/>
      <w:contextualSpacing/>
    </w:pPr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1"/>
    <w:next w:val="Normal1"/>
    <w:rsid w:val="007901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0141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713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52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255"/>
  </w:style>
  <w:style w:type="paragraph" w:styleId="Footer">
    <w:name w:val="footer"/>
    <w:basedOn w:val="Normal"/>
    <w:link w:val="FooterChar"/>
    <w:uiPriority w:val="99"/>
    <w:unhideWhenUsed/>
    <w:rsid w:val="003452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FEF93-2A79-4730-99FA-625418C3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8</Pages>
  <Words>6654</Words>
  <Characters>3794</Characters>
  <Application>Microsoft Office Word</Application>
  <DocSecurity>0</DocSecurity>
  <Lines>31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IRF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GOLOTA</dc:creator>
  <cp:lastModifiedBy>Тетяна Кухаренко</cp:lastModifiedBy>
  <cp:revision>9</cp:revision>
  <cp:lastPrinted>2019-01-21T11:53:00Z</cp:lastPrinted>
  <dcterms:created xsi:type="dcterms:W3CDTF">2024-12-10T21:55:00Z</dcterms:created>
  <dcterms:modified xsi:type="dcterms:W3CDTF">2024-12-20T12:20:00Z</dcterms:modified>
</cp:coreProperties>
</file>