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C5" w:rsidRPr="00A679D7" w:rsidRDefault="00EB02C5" w:rsidP="00642A09">
      <w:pPr>
        <w:shd w:val="clear" w:color="auto" w:fill="FFFFFF"/>
        <w:spacing w:line="288" w:lineRule="auto"/>
        <w:ind w:left="744"/>
        <w:rPr>
          <w:rFonts w:asciiTheme="minorHAnsi" w:hAnsiTheme="minorHAnsi" w:cstheme="minorHAnsi"/>
          <w:b/>
          <w:bCs/>
          <w:i/>
          <w:iCs/>
          <w:color w:val="000000"/>
          <w:spacing w:val="1"/>
          <w:sz w:val="22"/>
          <w:szCs w:val="22"/>
          <w:lang w:val="uk-UA"/>
        </w:rPr>
      </w:pPr>
    </w:p>
    <w:p w:rsidR="00A2132B" w:rsidRPr="00A679D7" w:rsidRDefault="00E7368B" w:rsidP="00642A09">
      <w:pPr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 xml:space="preserve">Пояснення до </w:t>
      </w:r>
      <w:r w:rsidR="003F5865"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>ТЕХНІЧН</w:t>
      </w:r>
      <w:r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>ОГО</w:t>
      </w:r>
      <w:r w:rsidR="003F5865"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 xml:space="preserve"> ЗАВДАННЯ</w:t>
      </w:r>
    </w:p>
    <w:p w:rsidR="00642A09" w:rsidRPr="00A679D7" w:rsidRDefault="00642A09" w:rsidP="00642A09">
      <w:pPr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 xml:space="preserve">на послуги з проведення фінансового аудиту </w:t>
      </w:r>
    </w:p>
    <w:p w:rsidR="00642A09" w:rsidRPr="00A679D7" w:rsidRDefault="00642A09" w:rsidP="00642A09">
      <w:pPr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>за стандартам IAASB (</w:t>
      </w:r>
      <w:proofErr w:type="spellStart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>International</w:t>
      </w:r>
      <w:proofErr w:type="spellEnd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</w:t>
      </w:r>
      <w:proofErr w:type="spellStart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>Auditing</w:t>
      </w:r>
      <w:proofErr w:type="spellEnd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</w:t>
      </w:r>
      <w:proofErr w:type="spellStart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>and</w:t>
      </w:r>
      <w:proofErr w:type="spellEnd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</w:t>
      </w:r>
      <w:proofErr w:type="spellStart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>Assurance</w:t>
      </w:r>
      <w:proofErr w:type="spellEnd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</w:t>
      </w:r>
      <w:proofErr w:type="spellStart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>Standards</w:t>
      </w:r>
      <w:proofErr w:type="spellEnd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</w:t>
      </w:r>
      <w:proofErr w:type="spellStart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>Board</w:t>
      </w:r>
      <w:proofErr w:type="spellEnd"/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>)</w:t>
      </w:r>
    </w:p>
    <w:p w:rsidR="00642A09" w:rsidRPr="00A679D7" w:rsidRDefault="00642A09" w:rsidP="00642A09">
      <w:pPr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 xml:space="preserve">виконання грантоотримувачами Міжнародного фонду «Відродження» проєктів </w:t>
      </w:r>
    </w:p>
    <w:p w:rsidR="00642A09" w:rsidRPr="00A679D7" w:rsidRDefault="00642A09" w:rsidP="00642A09">
      <w:pPr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 xml:space="preserve">у межах </w:t>
      </w:r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>«ІНІЦІАТИВИ З РОЗВИТКУ ЕКОЛОГІЧНОЇ ПОЛІТИКИ Й АДВОКАЦІЇ В УКРАЇНІ»</w:t>
      </w:r>
      <w:r w:rsidR="00AE3D23"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(EPAIU)</w:t>
      </w:r>
    </w:p>
    <w:p w:rsidR="00642A09" w:rsidRPr="00A679D7" w:rsidRDefault="00642A09" w:rsidP="00642A09">
      <w:pPr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>у 202</w:t>
      </w:r>
      <w:r w:rsidR="0060550D"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>2</w:t>
      </w:r>
      <w:r w:rsidRPr="00A679D7">
        <w:rPr>
          <w:rFonts w:asciiTheme="minorHAnsi" w:hAnsiTheme="minorHAnsi" w:cstheme="minorHAnsi"/>
          <w:b/>
          <w:bCs/>
          <w:iCs/>
          <w:color w:val="000000"/>
          <w:spacing w:val="1"/>
          <w:sz w:val="22"/>
          <w:szCs w:val="22"/>
          <w:lang w:val="uk-UA"/>
        </w:rPr>
        <w:t xml:space="preserve"> році</w:t>
      </w:r>
    </w:p>
    <w:p w:rsidR="00FA2B30" w:rsidRPr="00A679D7" w:rsidRDefault="00FA2B30" w:rsidP="00642A09">
      <w:pPr>
        <w:tabs>
          <w:tab w:val="left" w:pos="993"/>
        </w:tabs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</w:p>
    <w:p w:rsidR="00AE3D23" w:rsidRPr="00A679D7" w:rsidRDefault="00F96E4A" w:rsidP="00626339">
      <w:pPr>
        <w:tabs>
          <w:tab w:val="left" w:pos="993"/>
        </w:tabs>
        <w:spacing w:after="120" w:line="288" w:lineRule="auto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Період перевірки 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- з 01.0</w:t>
      </w:r>
      <w:r w:rsidR="00851B2B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1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.20</w:t>
      </w:r>
      <w:r w:rsidR="00FA2B30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2</w:t>
      </w:r>
      <w:r w:rsidR="0060550D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2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по 31.</w:t>
      </w:r>
      <w:r w:rsidR="00FA2B30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12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.202</w:t>
      </w:r>
      <w:r w:rsidR="0060550D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2</w:t>
      </w:r>
      <w:r w:rsidR="00851B2B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. </w:t>
      </w:r>
    </w:p>
    <w:p w:rsidR="00AE3D23" w:rsidRPr="00A679D7" w:rsidRDefault="00851B2B" w:rsidP="00AE3D23">
      <w:pPr>
        <w:tabs>
          <w:tab w:val="left" w:pos="993"/>
        </w:tabs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До зазначеного періоду входять окремі періоди</w:t>
      </w:r>
      <w:r w:rsidR="00F96E4A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</w:t>
      </w:r>
      <w:r w:rsidR="00AE3D2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реалізації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таких видів </w:t>
      </w:r>
      <w:r w:rsidR="00AE3D2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проєктів</w:t>
      </w:r>
      <w:r w:rsidR="009E68AA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, профінансованих</w:t>
      </w:r>
      <w:r w:rsidR="00AE3D2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у межах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</w:t>
      </w:r>
      <w:r w:rsidR="009E68AA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«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Ініціативи</w:t>
      </w:r>
      <w:r w:rsidR="009E68AA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з розвитку екологічної політики й адвокації в Україні» (</w:t>
      </w:r>
      <w:r w:rsidR="0097660E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надалі у тексті </w:t>
      </w:r>
      <w:r w:rsidR="009E68AA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– Ініціатива </w:t>
      </w:r>
      <w:r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>EPAIU</w:t>
      </w:r>
      <w:r w:rsidR="009E68AA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)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: </w:t>
      </w:r>
    </w:p>
    <w:p w:rsidR="00AE3D23" w:rsidRPr="00A679D7" w:rsidRDefault="00851B2B" w:rsidP="00AE3D23">
      <w:pPr>
        <w:pStyle w:val="ListParagraph"/>
        <w:numPr>
          <w:ilvl w:val="0"/>
          <w:numId w:val="14"/>
        </w:numPr>
        <w:tabs>
          <w:tab w:val="left" w:pos="993"/>
        </w:tabs>
        <w:spacing w:after="120" w:line="288" w:lineRule="auto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тринадцят</w:t>
      </w:r>
      <w:r w:rsidR="004E585C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ь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</w:t>
      </w:r>
      <w:r w:rsidR="00FA2B30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основн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их</w:t>
      </w:r>
      <w:r w:rsidR="00F96E4A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інституційн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их</w:t>
      </w:r>
      <w:r w:rsidR="00F96E4A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</w:t>
      </w:r>
      <w:r w:rsidR="00AE3D2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проєктів</w:t>
      </w:r>
      <w:r w:rsidR="0060550D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, які виконувалися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13-тьма організаціями-грантоотримувачами</w:t>
      </w:r>
      <w:r w:rsidR="0060550D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та завершуються у </w:t>
      </w:r>
      <w:r w:rsidR="00796A5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жовтні 2022 р.</w:t>
      </w:r>
      <w:r w:rsidR="000C6590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</w:t>
      </w:r>
      <w:r w:rsidR="000C6590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>(список</w:t>
      </w:r>
      <w:r w:rsidR="0060550D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організацій-грантоотримувачів</w:t>
      </w:r>
      <w:r w:rsidR="000C6590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– у </w:t>
      </w:r>
      <w:r w:rsidR="000C6590" w:rsidRPr="00A679D7">
        <w:rPr>
          <w:rFonts w:asciiTheme="minorHAnsi" w:hAnsiTheme="minorHAnsi" w:cstheme="minorHAnsi"/>
          <w:bCs/>
          <w:i/>
          <w:sz w:val="22"/>
          <w:szCs w:val="22"/>
          <w:u w:val="single"/>
          <w:lang w:val="uk-UA"/>
        </w:rPr>
        <w:t>Додатку 3</w:t>
      </w:r>
      <w:r w:rsidR="000C6590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до оголошення тендеру)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; </w:t>
      </w:r>
    </w:p>
    <w:p w:rsidR="00AE3D23" w:rsidRPr="00A679D7" w:rsidRDefault="0060550D" w:rsidP="00AE3D23">
      <w:pPr>
        <w:pStyle w:val="ListParagraph"/>
        <w:numPr>
          <w:ilvl w:val="0"/>
          <w:numId w:val="14"/>
        </w:numPr>
        <w:tabs>
          <w:tab w:val="left" w:pos="993"/>
        </w:tabs>
        <w:spacing w:after="120" w:line="288" w:lineRule="auto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шістнадцять </w:t>
      </w:r>
      <w:r w:rsidR="00AE3D2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дослідницьких</w:t>
      </w:r>
      <w:r w:rsidR="00851B2B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</w:t>
      </w:r>
      <w:r w:rsidR="00AE3D2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проєктів</w:t>
      </w:r>
      <w:r w:rsidR="00851B2B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, які 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знаходяться на різних етапах виконання </w:t>
      </w:r>
      <w:r w:rsidR="00851B2B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цими ж 13-тьма організаціями-грантоотримувачами; </w:t>
      </w:r>
    </w:p>
    <w:p w:rsidR="0060550D" w:rsidRPr="00A679D7" w:rsidRDefault="00796A53" w:rsidP="0060550D">
      <w:pPr>
        <w:pStyle w:val="ListParagraph"/>
        <w:numPr>
          <w:ilvl w:val="0"/>
          <w:numId w:val="14"/>
        </w:numPr>
        <w:tabs>
          <w:tab w:val="left" w:pos="993"/>
        </w:tabs>
        <w:spacing w:after="120" w:line="288" w:lineRule="auto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одинадцять</w:t>
      </w:r>
      <w:r w:rsidR="0060550D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додаткових інституційних грантів, які розпочинаються в листопаді 2022 р. і виконуються цими ж 13-тьма організаціями-грантоотримувачами; </w:t>
      </w:r>
    </w:p>
    <w:p w:rsidR="00F96E4A" w:rsidRPr="00A679D7" w:rsidRDefault="004E585C" w:rsidP="00AE3D23">
      <w:pPr>
        <w:pStyle w:val="ListParagraph"/>
        <w:numPr>
          <w:ilvl w:val="0"/>
          <w:numId w:val="14"/>
        </w:numPr>
        <w:tabs>
          <w:tab w:val="left" w:pos="993"/>
        </w:tabs>
        <w:spacing w:after="120" w:line="288" w:lineRule="auto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одинадцять </w:t>
      </w:r>
      <w:r w:rsidR="0060550D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малих </w:t>
      </w:r>
      <w:r w:rsidR="00AE3D2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проєктів</w:t>
      </w:r>
      <w:r w:rsidR="00851B2B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, які викону</w:t>
      </w:r>
      <w:r w:rsidR="0060550D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валися</w:t>
      </w:r>
      <w:r w:rsidR="00851B2B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11-тьма о</w:t>
      </w:r>
      <w:r w:rsidR="0060550D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рганізаціями-грантоотримувачами </w:t>
      </w:r>
      <w:r w:rsidR="00AE3D2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у межах конкурсу малих грантів</w:t>
      </w:r>
      <w:r w:rsidR="009E68AA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Ініціативи</w:t>
      </w:r>
      <w:r w:rsidR="00AE3D2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EPAIU </w:t>
      </w:r>
      <w:r w:rsidR="00851B2B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з листопада 2021 року</w:t>
      </w:r>
      <w:r w:rsidR="000C6590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</w:t>
      </w:r>
      <w:r w:rsidR="000C6590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>(список</w:t>
      </w:r>
      <w:r w:rsidR="0060550D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організацій-грантоотримувачів</w:t>
      </w:r>
      <w:r w:rsidR="000C6590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– у </w:t>
      </w:r>
      <w:r w:rsidR="000C6590" w:rsidRPr="00A679D7">
        <w:rPr>
          <w:rFonts w:asciiTheme="minorHAnsi" w:hAnsiTheme="minorHAnsi" w:cstheme="minorHAnsi"/>
          <w:bCs/>
          <w:i/>
          <w:sz w:val="22"/>
          <w:szCs w:val="22"/>
          <w:u w:val="single"/>
          <w:lang w:val="uk-UA"/>
        </w:rPr>
        <w:t>Додатку 4</w:t>
      </w:r>
      <w:r w:rsidR="000C6590"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до оголошення тендеру)</w:t>
      </w:r>
      <w:r w:rsidR="0060550D" w:rsidRPr="00A679D7">
        <w:rPr>
          <w:rFonts w:asciiTheme="minorHAnsi" w:hAnsiTheme="minorHAnsi" w:cstheme="minorHAnsi"/>
          <w:bCs/>
          <w:sz w:val="22"/>
          <w:szCs w:val="22"/>
          <w:lang w:val="uk-UA"/>
        </w:rPr>
        <w:t>;</w:t>
      </w:r>
    </w:p>
    <w:p w:rsidR="0060550D" w:rsidRPr="00A679D7" w:rsidRDefault="0060550D" w:rsidP="00AE3D23">
      <w:pPr>
        <w:pStyle w:val="ListParagraph"/>
        <w:numPr>
          <w:ilvl w:val="0"/>
          <w:numId w:val="14"/>
        </w:numPr>
        <w:tabs>
          <w:tab w:val="left" w:pos="993"/>
        </w:tabs>
        <w:spacing w:after="120" w:line="288" w:lineRule="auto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шістнадцять малих проєктів, які розпочнуться </w:t>
      </w:r>
      <w:r w:rsidR="00C40BE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в кінці 2022 року і виконуватимуться 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16-тьма організаціями-грантоотримувачами у межах </w:t>
      </w:r>
      <w:r w:rsidR="00C40BE3"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другого 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конкурсу малих грантів Ініціативи EPAIU </w:t>
      </w:r>
      <w:r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(список організацій-грантоотримувачів – у </w:t>
      </w:r>
      <w:r w:rsidRPr="00A679D7">
        <w:rPr>
          <w:rFonts w:asciiTheme="minorHAnsi" w:hAnsiTheme="minorHAnsi" w:cstheme="minorHAnsi"/>
          <w:bCs/>
          <w:i/>
          <w:sz w:val="22"/>
          <w:szCs w:val="22"/>
          <w:u w:val="single"/>
          <w:lang w:val="uk-UA"/>
        </w:rPr>
        <w:t xml:space="preserve">Додатку </w:t>
      </w:r>
      <w:r w:rsidR="00C40BE3" w:rsidRPr="00A679D7">
        <w:rPr>
          <w:rFonts w:asciiTheme="minorHAnsi" w:hAnsiTheme="minorHAnsi" w:cstheme="minorHAnsi"/>
          <w:bCs/>
          <w:i/>
          <w:sz w:val="22"/>
          <w:szCs w:val="22"/>
          <w:u w:val="single"/>
          <w:lang w:val="uk-UA"/>
        </w:rPr>
        <w:t>5</w:t>
      </w:r>
      <w:r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до оголошення тендеру)</w:t>
      </w:r>
      <w:r w:rsidRPr="00A679D7">
        <w:rPr>
          <w:rFonts w:asciiTheme="minorHAnsi" w:hAnsiTheme="minorHAnsi" w:cstheme="minorHAnsi"/>
          <w:bCs/>
          <w:sz w:val="22"/>
          <w:szCs w:val="22"/>
          <w:lang w:val="uk-UA"/>
        </w:rPr>
        <w:t>;</w:t>
      </w:r>
    </w:p>
    <w:p w:rsidR="00F96E4A" w:rsidRPr="00A679D7" w:rsidRDefault="00F96E4A" w:rsidP="00626339">
      <w:pPr>
        <w:tabs>
          <w:tab w:val="left" w:pos="993"/>
        </w:tabs>
        <w:spacing w:after="120" w:line="288" w:lineRule="auto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A679D7">
        <w:rPr>
          <w:rStyle w:val="Strong"/>
          <w:rFonts w:asciiTheme="minorHAnsi" w:eastAsia="Arial Unicode MS" w:hAnsiTheme="minorHAnsi" w:cstheme="minorHAnsi"/>
          <w:color w:val="000000"/>
          <w:sz w:val="22"/>
          <w:szCs w:val="22"/>
          <w:lang w:val="uk-UA" w:eastAsia="ru-RU"/>
        </w:rPr>
        <w:t>Місце проведення фінансового аудиту</w:t>
      </w:r>
      <w:r w:rsidRPr="00A679D7">
        <w:rPr>
          <w:rStyle w:val="Strong"/>
          <w:rFonts w:asciiTheme="minorHAnsi" w:eastAsia="Arial Unicode MS" w:hAnsiTheme="minorHAnsi" w:cstheme="minorHAnsi"/>
          <w:b w:val="0"/>
          <w:color w:val="000000"/>
          <w:sz w:val="22"/>
          <w:szCs w:val="22"/>
          <w:lang w:val="uk-UA" w:eastAsia="ru-RU"/>
        </w:rPr>
        <w:t xml:space="preserve"> – </w:t>
      </w:r>
      <w:r w:rsidR="00FA2B30"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адміністративні офіси </w:t>
      </w:r>
      <w:r w:rsidR="004E585C"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Міжнародного фонду «Відродження», </w:t>
      </w:r>
      <w:r w:rsidR="00FA2B30" w:rsidRPr="00A679D7">
        <w:rPr>
          <w:rFonts w:asciiTheme="minorHAnsi" w:hAnsiTheme="minorHAnsi" w:cstheme="minorHAnsi"/>
          <w:sz w:val="22"/>
          <w:szCs w:val="22"/>
          <w:lang w:val="uk-UA"/>
        </w:rPr>
        <w:t>грантоотримувачів Ініціативи EPAIU, а також проведення аудиту засобами онлайн зв’язку в умовах</w:t>
      </w:r>
      <w:r w:rsidR="004E585C"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 оголошеного</w:t>
      </w:r>
      <w:r w:rsidR="00FA2B30"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4E585C"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в Україні </w:t>
      </w:r>
      <w:r w:rsidR="00C40BE3"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воєнного стану та </w:t>
      </w:r>
      <w:proofErr w:type="spellStart"/>
      <w:r w:rsidR="00C40BE3" w:rsidRPr="00A679D7">
        <w:rPr>
          <w:rFonts w:asciiTheme="minorHAnsi" w:hAnsiTheme="minorHAnsi" w:cstheme="minorHAnsi"/>
          <w:sz w:val="22"/>
          <w:szCs w:val="22"/>
          <w:lang w:val="uk-UA"/>
        </w:rPr>
        <w:t>релокації</w:t>
      </w:r>
      <w:proofErr w:type="spellEnd"/>
      <w:r w:rsidR="00C40BE3"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 окремих організацій-грантоотримувачів</w:t>
      </w:r>
      <w:r w:rsidR="00FA2B30" w:rsidRPr="00A679D7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F96E4A" w:rsidRPr="00A679D7" w:rsidRDefault="00F96E4A" w:rsidP="00626339">
      <w:pPr>
        <w:tabs>
          <w:tab w:val="left" w:pos="993"/>
        </w:tabs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sz w:val="22"/>
          <w:szCs w:val="22"/>
          <w:lang w:val="uk-UA"/>
        </w:rPr>
        <w:t>Терміни надання послуг</w:t>
      </w:r>
      <w:r w:rsidR="00C73174" w:rsidRPr="00A679D7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аудиту</w:t>
      </w:r>
      <w:r w:rsidRPr="00A679D7">
        <w:rPr>
          <w:rFonts w:asciiTheme="minorHAnsi" w:hAnsiTheme="minorHAnsi" w:cstheme="minorHAnsi"/>
          <w:b/>
          <w:sz w:val="22"/>
          <w:szCs w:val="22"/>
          <w:lang w:val="uk-UA"/>
        </w:rPr>
        <w:t>:</w:t>
      </w:r>
    </w:p>
    <w:p w:rsidR="00C40BE3" w:rsidRPr="00A679D7" w:rsidRDefault="00C40BE3" w:rsidP="00C40BE3">
      <w:pPr>
        <w:pStyle w:val="Normal1"/>
        <w:spacing w:after="0" w:line="264" w:lineRule="auto"/>
        <w:rPr>
          <w:rFonts w:asciiTheme="minorHAnsi" w:eastAsia="Times New Roman" w:hAnsiTheme="minorHAnsi" w:cstheme="minorHAnsi"/>
          <w:lang w:val="uk-UA"/>
        </w:rPr>
      </w:pPr>
      <w:r w:rsidRPr="00A679D7">
        <w:rPr>
          <w:rFonts w:asciiTheme="minorHAnsi" w:eastAsia="Times New Roman" w:hAnsiTheme="minorHAnsi" w:cstheme="minorHAnsi"/>
          <w:lang w:val="uk-UA"/>
        </w:rPr>
        <w:t>01 –21 лютого 2023 р.  – активна фаза проведення аудиту</w:t>
      </w:r>
    </w:p>
    <w:p w:rsidR="00C40BE3" w:rsidRPr="00A679D7" w:rsidRDefault="00C40BE3" w:rsidP="00C40BE3">
      <w:pPr>
        <w:pStyle w:val="Normal1"/>
        <w:spacing w:after="0" w:line="264" w:lineRule="auto"/>
        <w:rPr>
          <w:rFonts w:asciiTheme="minorHAnsi" w:eastAsia="Times New Roman" w:hAnsiTheme="minorHAnsi" w:cstheme="minorHAnsi"/>
          <w:lang w:val="uk-UA"/>
        </w:rPr>
      </w:pPr>
      <w:r w:rsidRPr="00A679D7">
        <w:rPr>
          <w:rFonts w:asciiTheme="minorHAnsi" w:eastAsia="Times New Roman" w:hAnsiTheme="minorHAnsi" w:cstheme="minorHAnsi"/>
          <w:lang w:val="uk-UA"/>
        </w:rPr>
        <w:t>22 лютого – 10 березня 2023 р. - написання звітів за результатами аудиту та їх подання до МФВ</w:t>
      </w:r>
    </w:p>
    <w:p w:rsidR="00C40BE3" w:rsidRPr="00A679D7" w:rsidRDefault="00C40BE3" w:rsidP="00C40BE3">
      <w:pPr>
        <w:pStyle w:val="Normal1"/>
        <w:spacing w:after="0" w:line="264" w:lineRule="auto"/>
        <w:rPr>
          <w:rFonts w:asciiTheme="minorHAnsi" w:eastAsia="Times New Roman" w:hAnsiTheme="minorHAnsi" w:cstheme="minorHAnsi"/>
          <w:lang w:val="uk-UA"/>
        </w:rPr>
      </w:pPr>
      <w:r w:rsidRPr="00A679D7">
        <w:rPr>
          <w:rFonts w:asciiTheme="minorHAnsi" w:eastAsia="Times New Roman" w:hAnsiTheme="minorHAnsi" w:cstheme="minorHAnsi"/>
          <w:lang w:val="uk-UA"/>
        </w:rPr>
        <w:t>15 березня 2023 р. – подання завершеного аудиторського звіту до Посольства Швеції.</w:t>
      </w:r>
    </w:p>
    <w:p w:rsidR="00A679D7" w:rsidRPr="00A679D7" w:rsidRDefault="00A679D7" w:rsidP="00C40BE3">
      <w:pPr>
        <w:pStyle w:val="Normal1"/>
        <w:spacing w:after="0" w:line="264" w:lineRule="auto"/>
        <w:rPr>
          <w:rFonts w:asciiTheme="minorHAnsi" w:eastAsia="Times New Roman" w:hAnsiTheme="minorHAnsi" w:cstheme="minorHAnsi"/>
          <w:lang w:val="uk-UA"/>
        </w:rPr>
      </w:pPr>
    </w:p>
    <w:p w:rsidR="00A679D7" w:rsidRPr="00A679D7" w:rsidRDefault="00A679D7" w:rsidP="00C40BE3">
      <w:pPr>
        <w:pStyle w:val="Normal1"/>
        <w:spacing w:after="0" w:line="264" w:lineRule="auto"/>
        <w:rPr>
          <w:rFonts w:asciiTheme="minorHAnsi" w:eastAsia="Times New Roman" w:hAnsiTheme="minorHAnsi" w:cstheme="minorHAnsi"/>
          <w:lang w:val="uk-UA"/>
        </w:rPr>
      </w:pPr>
    </w:p>
    <w:p w:rsidR="00A679D7" w:rsidRPr="00A679D7" w:rsidRDefault="00A679D7" w:rsidP="00A679D7">
      <w:pPr>
        <w:spacing w:after="120" w:line="288" w:lineRule="auto"/>
        <w:ind w:left="720"/>
        <w:jc w:val="center"/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  <w:t>Основні принципи</w:t>
      </w:r>
    </w:p>
    <w:p w:rsidR="00A679D7" w:rsidRPr="00A679D7" w:rsidRDefault="00A679D7" w:rsidP="00A679D7">
      <w:pPr>
        <w:numPr>
          <w:ilvl w:val="0"/>
          <w:numId w:val="1"/>
        </w:numPr>
        <w:shd w:val="clear" w:color="auto" w:fill="FFFFFF"/>
        <w:tabs>
          <w:tab w:val="left" w:pos="1450"/>
        </w:tabs>
        <w:spacing w:after="120" w:line="288" w:lineRule="auto"/>
        <w:ind w:firstLine="754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Міжнародний фонд «Відродження» 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 xml:space="preserve">(далі - </w:t>
      </w:r>
      <w:proofErr w:type="spellStart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Cooperation</w:t>
      </w:r>
      <w:proofErr w:type="spellEnd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proofErr w:type="spellStart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partner</w:t>
      </w:r>
      <w:proofErr w:type="spellEnd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 xml:space="preserve">, або 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 xml:space="preserve">МФВ) 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замовляє послуги аудиторської фірми для проведення аудиту відповідно до </w:t>
      </w:r>
      <w:r w:rsidRPr="00A679D7">
        <w:rPr>
          <w:rFonts w:asciiTheme="minorHAnsi" w:hAnsiTheme="minorHAnsi" w:cstheme="minorHAnsi"/>
          <w:b/>
          <w:sz w:val="22"/>
          <w:szCs w:val="22"/>
          <w:lang w:val="uk-UA"/>
        </w:rPr>
        <w:t>ISA 800/805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 фінансових звітів та інших фінансових документів організацій-грантоотримувачів 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(далі –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proofErr w:type="spellStart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implementing</w:t>
      </w:r>
      <w:proofErr w:type="spellEnd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proofErr w:type="spellStart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partners</w:t>
      </w:r>
      <w:proofErr w:type="spellEnd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 xml:space="preserve"> (</w:t>
      </w:r>
      <w:proofErr w:type="spellStart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IP’s</w:t>
      </w:r>
      <w:proofErr w:type="spellEnd"/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)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 xml:space="preserve">, або 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Організації)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 Ініціативи EPAIU, що стосуються використання коштів проєктів, профінансованих Ініціативою EPAIU 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(далі – Проєкти)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 за період з 01 січня 2022 по 31 грудня 2022 року згідно із Угодами про реалізацію проєкту 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(далі – Угода)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, укладеними між МФВ і Організаціями. Фінансова перевірка/аудит Організацій 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(далі - "аудит")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 має здійснюватися незалежним аудитором 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(далі - "Аудитор")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, який має необхідну професійну компетентність і досвід, згідно із загальноприйнятими міжнародними стандартами аудиту. Дане Технічне завдання </w:t>
      </w:r>
      <w:r w:rsidRPr="00A679D7">
        <w:rPr>
          <w:rFonts w:asciiTheme="minorHAnsi" w:hAnsiTheme="minorHAnsi" w:cstheme="minorHAnsi"/>
          <w:i/>
          <w:sz w:val="22"/>
          <w:szCs w:val="22"/>
          <w:lang w:val="uk-UA"/>
        </w:rPr>
        <w:t>(далі- "ТЗ")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 визначає задачі та повноваження Аудитора у зв'язку з фінансовою перевіркою. </w:t>
      </w:r>
    </w:p>
    <w:p w:rsidR="00A679D7" w:rsidRPr="00A679D7" w:rsidRDefault="00A679D7" w:rsidP="00A679D7">
      <w:pPr>
        <w:numPr>
          <w:ilvl w:val="0"/>
          <w:numId w:val="1"/>
        </w:numPr>
        <w:shd w:val="clear" w:color="auto" w:fill="FFFFFF"/>
        <w:tabs>
          <w:tab w:val="left" w:pos="1450"/>
        </w:tabs>
        <w:spacing w:after="120" w:line="288" w:lineRule="auto"/>
        <w:ind w:firstLine="754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Під час планування, виконання перевірки та підготовки звіту незалежного аудитора Аудитор керується, зокрема, законом України «Про аудит фінансової звітності та аудиторську діяльність» 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lastRenderedPageBreak/>
        <w:t>від 21.12.2017 №2258-VІІІ, Міжнародними стандартами контролю якості, аудиту, огляду, іншого надання впевненості та супутніх послуг, виданих Радою з Міжнародних стандартів аудиту та надання впевненості (РМСАНВ), затверджених в якості національних стандартів аудиту рішенням АПУ від 29.12.2015 р. № 320/1.</w:t>
      </w:r>
    </w:p>
    <w:p w:rsidR="00A679D7" w:rsidRPr="00A679D7" w:rsidRDefault="00A679D7" w:rsidP="00A679D7">
      <w:pPr>
        <w:spacing w:after="120" w:line="288" w:lineRule="auto"/>
        <w:ind w:left="720"/>
        <w:jc w:val="center"/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  <w:t>Загальні завдання аудиту</w:t>
      </w:r>
    </w:p>
    <w:p w:rsidR="00A679D7" w:rsidRPr="00A679D7" w:rsidRDefault="00A679D7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lang w:val="uk-UA"/>
        </w:rPr>
      </w:pPr>
    </w:p>
    <w:p w:rsidR="00A679D7" w:rsidRPr="00A679D7" w:rsidRDefault="00A679D7" w:rsidP="00A679D7">
      <w:pPr>
        <w:pStyle w:val="BodyTextIndent3"/>
        <w:spacing w:after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679D7">
        <w:rPr>
          <w:rFonts w:asciiTheme="minorHAnsi" w:hAnsiTheme="minorHAnsi" w:cstheme="minorHAnsi"/>
          <w:sz w:val="22"/>
          <w:szCs w:val="22"/>
        </w:rPr>
        <w:t>Mandatory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assignments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must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included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partner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forward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funds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implementing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partners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>):</w:t>
      </w:r>
    </w:p>
    <w:p w:rsidR="00A679D7" w:rsidRPr="00A679D7" w:rsidRDefault="00A679D7" w:rsidP="00A679D7">
      <w:pPr>
        <w:pStyle w:val="BodyTextIndent3"/>
        <w:spacing w:after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Choose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a sample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minimum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100 %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total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disbursed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funds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well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100 %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>.</w:t>
      </w:r>
    </w:p>
    <w:p w:rsidR="00A679D7" w:rsidRPr="00A679D7" w:rsidRDefault="00A679D7" w:rsidP="00A679D7">
      <w:pPr>
        <w:pStyle w:val="BodyTextIndent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679D7">
        <w:rPr>
          <w:rFonts w:asciiTheme="minorHAnsi" w:hAnsiTheme="minorHAnsi" w:cstheme="minorHAnsi"/>
          <w:sz w:val="22"/>
          <w:szCs w:val="22"/>
        </w:rPr>
        <w:t xml:space="preserve">2.1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Inspect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confirm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partner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signed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agreements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selected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679D7" w:rsidRPr="00A679D7" w:rsidRDefault="00A679D7" w:rsidP="00A679D7">
      <w:pPr>
        <w:pStyle w:val="BodyTextIndent3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679D7">
        <w:rPr>
          <w:rFonts w:asciiTheme="minorHAnsi" w:hAnsiTheme="minorHAnsi" w:cstheme="minorHAnsi"/>
          <w:sz w:val="22"/>
          <w:szCs w:val="22"/>
        </w:rPr>
        <w:t xml:space="preserve">2.2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Inspect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confirm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partner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, in all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agreements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entered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included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requirement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carry out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annual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audits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requirement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shall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specify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these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audits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shall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out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ISA (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reporting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ISA 800/805)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a separate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assignment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ISRS 4400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should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included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support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agreements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regarding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core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support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entered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audit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shall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conducted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ISA 700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National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standards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auditing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679D7" w:rsidRPr="00A679D7" w:rsidRDefault="00A679D7" w:rsidP="00A679D7">
      <w:pPr>
        <w:pStyle w:val="BodyTextIndent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679D7">
        <w:rPr>
          <w:rFonts w:asciiTheme="minorHAnsi" w:hAnsiTheme="minorHAnsi" w:cstheme="minorHAnsi"/>
          <w:sz w:val="22"/>
          <w:szCs w:val="22"/>
        </w:rPr>
        <w:t xml:space="preserve">2.3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Inquire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inspect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partner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received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financial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reportings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auditors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all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included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selected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sample:</w:t>
      </w:r>
    </w:p>
    <w:p w:rsidR="00A679D7" w:rsidRPr="00A679D7" w:rsidRDefault="00A679D7" w:rsidP="00A679D7">
      <w:pPr>
        <w:pStyle w:val="BodyTextIndent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679D7">
        <w:rPr>
          <w:rFonts w:asciiTheme="minorHAnsi" w:hAnsiTheme="minorHAnsi" w:cstheme="minorHAnsi"/>
          <w:sz w:val="22"/>
          <w:szCs w:val="22"/>
        </w:rPr>
        <w:t xml:space="preserve">a)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Inquire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inspect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partner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verified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Agreement. </w:t>
      </w:r>
    </w:p>
    <w:p w:rsidR="00A679D7" w:rsidRPr="00A679D7" w:rsidRDefault="00A679D7" w:rsidP="00A679D7">
      <w:pPr>
        <w:pStyle w:val="BodyTextIndent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679D7">
        <w:rPr>
          <w:rFonts w:asciiTheme="minorHAnsi" w:hAnsiTheme="minorHAnsi" w:cstheme="minorHAnsi"/>
          <w:sz w:val="22"/>
          <w:szCs w:val="22"/>
        </w:rPr>
        <w:t xml:space="preserve">b)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Inquire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inspect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partner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documented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assessment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financial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reporting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auditors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management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responses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action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plans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selected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679D7" w:rsidRPr="00A679D7" w:rsidRDefault="00A679D7" w:rsidP="00A679D7">
      <w:pPr>
        <w:pStyle w:val="BodyTextIndent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679D7">
        <w:rPr>
          <w:rFonts w:asciiTheme="minorHAnsi" w:hAnsiTheme="minorHAnsi" w:cstheme="minorHAnsi"/>
          <w:sz w:val="22"/>
          <w:szCs w:val="22"/>
        </w:rPr>
        <w:t xml:space="preserve">c)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Inquire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inspect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partner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documented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follow-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up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actions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based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provided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financial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reporting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auditor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selected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679D7" w:rsidRDefault="00A679D7" w:rsidP="00A679D7">
      <w:pPr>
        <w:pStyle w:val="BodyTextIndent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679D7">
        <w:rPr>
          <w:rFonts w:asciiTheme="minorHAnsi" w:hAnsiTheme="minorHAnsi" w:cstheme="minorHAnsi"/>
          <w:sz w:val="22"/>
          <w:szCs w:val="22"/>
        </w:rPr>
        <w:t xml:space="preserve">d)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Inquire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inspect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partner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substantial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observations</w:t>
      </w:r>
      <w:proofErr w:type="spellEnd"/>
      <w:r w:rsidRPr="00A679D7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selected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audit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Sida. List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observations</w:t>
      </w:r>
      <w:proofErr w:type="spellEnd"/>
      <w:r w:rsidRPr="00A679D7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IP’s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audit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reports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been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part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79D7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A679D7">
        <w:rPr>
          <w:rFonts w:asciiTheme="minorHAnsi" w:hAnsiTheme="minorHAnsi" w:cstheme="minorHAnsi"/>
          <w:sz w:val="22"/>
          <w:szCs w:val="22"/>
        </w:rPr>
        <w:t xml:space="preserve"> sample.</w:t>
      </w:r>
    </w:p>
    <w:p w:rsidR="00C3517B" w:rsidRPr="00A679D7" w:rsidRDefault="00C3517B" w:rsidP="00A679D7">
      <w:pPr>
        <w:pStyle w:val="BodyTextIndent3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3517B" w:rsidRDefault="00C3517B" w:rsidP="00A679D7">
      <w:pPr>
        <w:spacing w:after="120" w:line="288" w:lineRule="auto"/>
        <w:ind w:left="720"/>
        <w:jc w:val="center"/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  <w:t>Додаткові роз‘яснення:</w:t>
      </w:r>
    </w:p>
    <w:p w:rsidR="00C3517B" w:rsidRPr="00A679D7" w:rsidRDefault="00C3517B" w:rsidP="00C3517B">
      <w:p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>Аудитор повинен:</w:t>
      </w:r>
    </w:p>
    <w:p w:rsidR="00C3517B" w:rsidRPr="00A679D7" w:rsidRDefault="00C3517B" w:rsidP="00C3517B">
      <w:pPr>
        <w:pStyle w:val="ListParagraph"/>
        <w:numPr>
          <w:ilvl w:val="0"/>
          <w:numId w:val="15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 xml:space="preserve">перевірити фінансову звітність Організацій, які отримали фінансування від Ініціативи 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>EPAIU,</w:t>
      </w: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 xml:space="preserve"> про використання коштів за Проєктами, а також інші фінансові документи, що стосуються використання коштів тих Проєктів, які ще тривають (при цьому слід звернути увагу, чи фінансовий звіт структуровано таким чином, щоб можна було порівняти його з останніми затвердженими змінами до бюджету проєкту); висловити професійне судження щодо того, чи дає фінансова звітність і документація Організацій правдиву та неупереджену інформацію про витрати бюджетів Проєктів відповідно до Угод, укладених між Організаціями та МФВ.</w:t>
      </w:r>
    </w:p>
    <w:p w:rsidR="00C3517B" w:rsidRPr="00A679D7" w:rsidRDefault="00C3517B" w:rsidP="00C3517B">
      <w:pPr>
        <w:pStyle w:val="ListParagraph"/>
        <w:numPr>
          <w:ilvl w:val="0"/>
          <w:numId w:val="15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>узагальнити результати проведених аудиторських процедур стосовно системи внутрішнього контролю Організації та оцінки ризику контролю, навести виявлені під час аудиту значні недоліки, включаючи суттєві недоліки, в тій мірі, в якій вони мають вплив на вираження аудитором думки про фінансову звітність.</w:t>
      </w:r>
    </w:p>
    <w:p w:rsidR="00C3517B" w:rsidRPr="00A679D7" w:rsidRDefault="00C3517B" w:rsidP="00C3517B">
      <w:pPr>
        <w:pStyle w:val="ListParagraph"/>
        <w:numPr>
          <w:ilvl w:val="0"/>
          <w:numId w:val="15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 xml:space="preserve">оцінити відповідність діяльності та бухгалтерського обліку Організації до національного </w:t>
      </w: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lastRenderedPageBreak/>
        <w:t>законодавства, включаючи податкове законодавства та правила з регулювання діяльності неурядових організацій.</w:t>
      </w:r>
    </w:p>
    <w:p w:rsidR="00C3517B" w:rsidRPr="00A679D7" w:rsidRDefault="00C3517B" w:rsidP="00C3517B">
      <w:pPr>
        <w:pStyle w:val="ListParagraph"/>
        <w:numPr>
          <w:ilvl w:val="0"/>
          <w:numId w:val="15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 xml:space="preserve">дослідити, які заходи були вжиті грантоотримувачами в результаті попередніх аудитів і чи ці заходи були адекватними для вирішення недоліків, про які повідомлялося у попередніх аудиторських звітах </w:t>
      </w:r>
      <w:r w:rsidRPr="00A679D7">
        <w:rPr>
          <w:rFonts w:asciiTheme="minorHAnsi" w:hAnsiTheme="minorHAnsi" w:cstheme="minorHAnsi"/>
          <w:i/>
          <w:color w:val="000000"/>
          <w:spacing w:val="1"/>
          <w:sz w:val="22"/>
          <w:szCs w:val="22"/>
          <w:lang w:val="uk-UA"/>
        </w:rPr>
        <w:t xml:space="preserve">(стосується лише 13-тьох основних інституційних грантерів – список у </w:t>
      </w:r>
      <w:r w:rsidRPr="00A679D7">
        <w:rPr>
          <w:rFonts w:asciiTheme="minorHAnsi" w:hAnsiTheme="minorHAnsi" w:cstheme="minorHAnsi"/>
          <w:i/>
          <w:color w:val="000000"/>
          <w:spacing w:val="1"/>
          <w:sz w:val="22"/>
          <w:szCs w:val="22"/>
          <w:u w:val="single"/>
          <w:lang w:val="uk-UA"/>
        </w:rPr>
        <w:t>Додатку 3</w:t>
      </w:r>
      <w:r w:rsidRPr="00A679D7">
        <w:rPr>
          <w:rFonts w:asciiTheme="minorHAnsi" w:hAnsiTheme="minorHAnsi" w:cstheme="minorHAnsi"/>
          <w:i/>
          <w:color w:val="000000"/>
          <w:spacing w:val="1"/>
          <w:sz w:val="22"/>
          <w:szCs w:val="22"/>
          <w:lang w:val="uk-UA"/>
        </w:rPr>
        <w:t xml:space="preserve"> </w:t>
      </w:r>
      <w:r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>до оголошення тендеру</w:t>
      </w:r>
      <w:r w:rsidRPr="00A679D7">
        <w:rPr>
          <w:rFonts w:asciiTheme="minorHAnsi" w:hAnsiTheme="minorHAnsi" w:cstheme="minorHAnsi"/>
          <w:i/>
          <w:color w:val="000000"/>
          <w:spacing w:val="1"/>
          <w:sz w:val="22"/>
          <w:szCs w:val="22"/>
          <w:lang w:val="uk-UA"/>
        </w:rPr>
        <w:t>)</w:t>
      </w: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>.</w:t>
      </w:r>
    </w:p>
    <w:p w:rsidR="00C3517B" w:rsidRPr="00A679D7" w:rsidRDefault="00C3517B" w:rsidP="00C3517B">
      <w:p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 xml:space="preserve">Від Аудитора </w:t>
      </w:r>
      <w:r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>очікується звіт</w:t>
      </w: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 xml:space="preserve"> про результати аудиту з метою </w:t>
      </w:r>
      <w:r w:rsidRPr="00A679D7">
        <w:rPr>
          <w:rFonts w:asciiTheme="minorHAnsi" w:hAnsiTheme="minorHAnsi" w:cstheme="minorHAnsi"/>
          <w:color w:val="000000"/>
          <w:spacing w:val="-1"/>
          <w:sz w:val="22"/>
          <w:szCs w:val="22"/>
          <w:lang w:val="uk-UA"/>
        </w:rPr>
        <w:t>формування професійної думки з таких питань, які стосуються діяльності організації:</w:t>
      </w:r>
    </w:p>
    <w:p w:rsidR="00C3517B" w:rsidRPr="00A679D7" w:rsidRDefault="00C3517B" w:rsidP="00C3517B">
      <w:pPr>
        <w:numPr>
          <w:ilvl w:val="0"/>
          <w:numId w:val="2"/>
        </w:numPr>
        <w:shd w:val="clear" w:color="auto" w:fill="FFFFFF"/>
        <w:tabs>
          <w:tab w:val="left" w:pos="1459"/>
        </w:tabs>
        <w:spacing w:after="120" w:line="288" w:lineRule="auto"/>
        <w:ind w:left="734"/>
        <w:jc w:val="both"/>
        <w:rPr>
          <w:rFonts w:asciiTheme="minorHAnsi" w:hAnsiTheme="minorHAnsi" w:cstheme="minorHAnsi"/>
          <w:bCs/>
          <w:color w:val="000000"/>
          <w:spacing w:val="-5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color w:val="000000"/>
          <w:sz w:val="22"/>
          <w:szCs w:val="22"/>
          <w:lang w:val="uk-UA"/>
        </w:rPr>
        <w:t>Адекватність і ефективність Системи внутрішнього контролю (ІСS);</w:t>
      </w:r>
    </w:p>
    <w:p w:rsidR="00C3517B" w:rsidRPr="00A679D7" w:rsidRDefault="00C3517B" w:rsidP="00C3517B">
      <w:pPr>
        <w:numPr>
          <w:ilvl w:val="0"/>
          <w:numId w:val="2"/>
        </w:numPr>
        <w:shd w:val="clear" w:color="auto" w:fill="FFFFFF"/>
        <w:tabs>
          <w:tab w:val="left" w:pos="1459"/>
        </w:tabs>
        <w:spacing w:after="120" w:line="288" w:lineRule="auto"/>
        <w:ind w:left="734"/>
        <w:jc w:val="both"/>
        <w:rPr>
          <w:rFonts w:asciiTheme="minorHAnsi" w:hAnsiTheme="minorHAnsi" w:cstheme="minorHAnsi"/>
          <w:bCs/>
          <w:color w:val="000000"/>
          <w:spacing w:val="-5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color w:val="000000"/>
          <w:spacing w:val="-1"/>
          <w:sz w:val="22"/>
          <w:szCs w:val="22"/>
          <w:lang w:val="uk-UA"/>
        </w:rPr>
        <w:t>Фінансова коректність;</w:t>
      </w:r>
    </w:p>
    <w:p w:rsidR="00C3517B" w:rsidRPr="00A679D7" w:rsidRDefault="00C3517B" w:rsidP="00C3517B">
      <w:pPr>
        <w:numPr>
          <w:ilvl w:val="0"/>
          <w:numId w:val="2"/>
        </w:numPr>
        <w:shd w:val="clear" w:color="auto" w:fill="FFFFFF"/>
        <w:tabs>
          <w:tab w:val="left" w:pos="1459"/>
        </w:tabs>
        <w:spacing w:after="120" w:line="288" w:lineRule="auto"/>
        <w:ind w:left="734"/>
        <w:jc w:val="both"/>
        <w:rPr>
          <w:rFonts w:asciiTheme="minorHAnsi" w:hAnsiTheme="minorHAnsi" w:cstheme="minorHAnsi"/>
          <w:bCs/>
          <w:color w:val="000000"/>
          <w:spacing w:val="-4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color w:val="000000"/>
          <w:sz w:val="22"/>
          <w:szCs w:val="22"/>
          <w:lang w:val="uk-UA"/>
        </w:rPr>
        <w:t>Відповідність завдання Проєкту та дотримання умов Угоди про реалізацію Проєкту;</w:t>
      </w:r>
    </w:p>
    <w:p w:rsidR="00C3517B" w:rsidRPr="00A679D7" w:rsidRDefault="00C3517B" w:rsidP="00C3517B">
      <w:pPr>
        <w:numPr>
          <w:ilvl w:val="0"/>
          <w:numId w:val="2"/>
        </w:numPr>
        <w:shd w:val="clear" w:color="auto" w:fill="FFFFFF"/>
        <w:tabs>
          <w:tab w:val="left" w:pos="1459"/>
        </w:tabs>
        <w:spacing w:after="120" w:line="288" w:lineRule="auto"/>
        <w:ind w:left="19" w:firstLine="715"/>
        <w:jc w:val="both"/>
        <w:rPr>
          <w:rFonts w:asciiTheme="minorHAnsi" w:hAnsiTheme="minorHAnsi" w:cstheme="minorHAnsi"/>
          <w:bCs/>
          <w:color w:val="000000"/>
          <w:spacing w:val="-5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Cs/>
          <w:color w:val="000000"/>
          <w:spacing w:val="1"/>
          <w:sz w:val="22"/>
          <w:szCs w:val="22"/>
          <w:lang w:val="uk-UA"/>
        </w:rPr>
        <w:t xml:space="preserve">Економічне та ефективне ведення ділової діяльності та </w:t>
      </w:r>
      <w:r w:rsidRPr="00A679D7">
        <w:rPr>
          <w:rFonts w:asciiTheme="minorHAnsi" w:hAnsiTheme="minorHAnsi" w:cstheme="minorHAnsi"/>
          <w:bCs/>
          <w:color w:val="000000"/>
          <w:spacing w:val="-1"/>
          <w:sz w:val="22"/>
          <w:szCs w:val="22"/>
          <w:lang w:val="uk-UA"/>
        </w:rPr>
        <w:t>використання фінансових ресурсів.</w:t>
      </w:r>
    </w:p>
    <w:p w:rsidR="00C3517B" w:rsidRDefault="00C3517B" w:rsidP="00C3517B">
      <w:pPr>
        <w:shd w:val="clear" w:color="auto" w:fill="FFFFFF"/>
        <w:spacing w:after="120" w:line="288" w:lineRule="auto"/>
        <w:ind w:left="19" w:right="1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uk-UA"/>
        </w:rPr>
      </w:pPr>
    </w:p>
    <w:p w:rsidR="00C3517B" w:rsidRPr="00A679D7" w:rsidRDefault="00C3517B" w:rsidP="00C3517B">
      <w:pPr>
        <w:shd w:val="clear" w:color="auto" w:fill="FFFFFF"/>
        <w:spacing w:after="120" w:line="288" w:lineRule="auto"/>
        <w:ind w:left="19" w:right="1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pacing w:val="-1"/>
          <w:sz w:val="22"/>
          <w:szCs w:val="22"/>
          <w:lang w:val="uk-UA"/>
        </w:rPr>
        <w:t>Перелік документів, які мають розглядатися Аудитором як базові для цілей виконання аудиту:</w:t>
      </w:r>
    </w:p>
    <w:p w:rsidR="00C3517B" w:rsidRPr="00A679D7" w:rsidRDefault="00C3517B" w:rsidP="00C3517B">
      <w:pPr>
        <w:shd w:val="clear" w:color="auto" w:fill="FFFFFF"/>
        <w:spacing w:after="120" w:line="288" w:lineRule="auto"/>
        <w:ind w:left="19" w:right="10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lang w:val="uk-UA"/>
        </w:rPr>
        <w:t xml:space="preserve">Проєктні документи: 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 xml:space="preserve">Угода між Організацією та  МФВ; </w:t>
      </w: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Опис проєкту; Бюджет проєкту; План проєктної діяльності; Процедури управління проєктом; Будь-які інші документи щодо проєкту.</w:t>
      </w:r>
    </w:p>
    <w:p w:rsidR="00C3517B" w:rsidRPr="00A679D7" w:rsidRDefault="00C3517B" w:rsidP="00C3517B">
      <w:pPr>
        <w:shd w:val="clear" w:color="auto" w:fill="FFFFFF"/>
        <w:spacing w:after="120" w:line="288" w:lineRule="auto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uk-UA"/>
        </w:rPr>
        <w:t xml:space="preserve">Бухгалтерський облік: </w:t>
      </w: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документація бухгалтерського обліку, що підлягає фінансовій перевірці; звіт про фінансову та іншу діяльність за проєктом.</w:t>
      </w: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ab/>
      </w:r>
    </w:p>
    <w:p w:rsidR="00C3517B" w:rsidRDefault="00C3517B" w:rsidP="00C3517B">
      <w:pPr>
        <w:shd w:val="clear" w:color="auto" w:fill="FFFFFF"/>
        <w:spacing w:after="120" w:line="288" w:lineRule="auto"/>
        <w:ind w:left="14" w:right="10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</w:p>
    <w:p w:rsidR="00C3517B" w:rsidRPr="00A679D7" w:rsidRDefault="00C3517B" w:rsidP="00C3517B">
      <w:pPr>
        <w:shd w:val="clear" w:color="auto" w:fill="FFFFFF"/>
        <w:spacing w:after="120" w:line="288" w:lineRule="auto"/>
        <w:ind w:left="14" w:right="10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Відповідно до узгоджених процедур ISRS 4400</w:t>
      </w: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 xml:space="preserve">, стосовно фінансової інформації про виконання Проєктів у межах </w:t>
      </w:r>
      <w:r w:rsidRPr="00A679D7">
        <w:rPr>
          <w:rFonts w:asciiTheme="minorHAnsi" w:hAnsiTheme="minorHAnsi" w:cstheme="minorHAnsi"/>
          <w:sz w:val="22"/>
          <w:szCs w:val="22"/>
          <w:lang w:val="uk-UA"/>
        </w:rPr>
        <w:t>Ініціативи EPAIU</w:t>
      </w: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 xml:space="preserve"> </w:t>
      </w: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Аудитор повинен: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перевірити, чи виділені на проєкт зарплатні кошти задокументовані протягом року у системний спосіб, і пересвідчитися, чи можна перевірити витрати на заробітну платню за допомогою достатньої підтверджуючої документації;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дослідити за кожною статтею бюджету Проєктів, чи містять фінансові звіти за Проєктами порівняння між фактичними витратами/видатками на діяльність та запланованими витратами згідно з Угодами про реалізацію проєктів, затвердженими МФВ.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на основі істотності та ризиків перевірити наявність підтверджувальної документації щодо понесених витрат у межах Проєктів. Незалежно від істотності висновків, аудитор повинен кількісно визначити суму витрат, які не мають достатньої підтверджуючої документації.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перевірити окремі пункти у фінансовому звіті за Проєктами щодо відповідності курсів перерахування траншів до того, що передбачено Угодою, включаючи додатки та загальноприйняті принципи бухгалтерського обліку.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прослідкувати дотримання Організаціями чинного податкового законодавства щодо податків (зокрема, PAYE) та зборів на соціальне страхування.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прослідкувати дотримання Організаціями інструкцій із закупівель, що додаються до Угоди.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перевірити, чи збігається вихідний залишок попереднього періоду із вхідним залишком нового (поточного) періоду аудиту.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якщо Організація застосовує модифікований касовий принцип як принцип бухгалтерського обліку, </w:t>
      </w: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lastRenderedPageBreak/>
        <w:t>аудитор повинен описати використовуваний метод та зазначити, чи застосований принцип обліку є прийнятним для цього типу фінансової звітності.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звірити невитрачений залишок на кінець фінансового року з обліковими записами та супровідною документацією.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перевірити, чи виконала Організація рекомендації попереднього аудиту, зокрема щодо внутрішнього контролю </w:t>
      </w:r>
      <w:r w:rsidRPr="00A679D7">
        <w:rPr>
          <w:rFonts w:asciiTheme="minorHAnsi" w:hAnsiTheme="minorHAnsi" w:cstheme="minorHAnsi"/>
          <w:i/>
          <w:color w:val="000000"/>
          <w:spacing w:val="1"/>
          <w:sz w:val="22"/>
          <w:szCs w:val="22"/>
          <w:lang w:val="uk-UA"/>
        </w:rPr>
        <w:t xml:space="preserve">(стосується лише 13-тьох інституційних грантоотримувачів, що у </w:t>
      </w:r>
      <w:r w:rsidRPr="00A679D7">
        <w:rPr>
          <w:rFonts w:asciiTheme="minorHAnsi" w:hAnsiTheme="minorHAnsi" w:cstheme="minorHAnsi"/>
          <w:i/>
          <w:color w:val="000000"/>
          <w:spacing w:val="1"/>
          <w:sz w:val="22"/>
          <w:szCs w:val="22"/>
          <w:u w:val="single"/>
          <w:lang w:val="uk-UA"/>
        </w:rPr>
        <w:t>Додатку 3</w:t>
      </w:r>
      <w:r w:rsidRPr="00A679D7">
        <w:rPr>
          <w:rFonts w:asciiTheme="minorHAnsi" w:hAnsiTheme="minorHAnsi" w:cstheme="minorHAnsi"/>
          <w:i/>
          <w:color w:val="000000"/>
          <w:spacing w:val="1"/>
          <w:sz w:val="22"/>
          <w:szCs w:val="22"/>
          <w:lang w:val="uk-UA"/>
        </w:rPr>
        <w:t xml:space="preserve"> </w:t>
      </w:r>
      <w:r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>до оголошення тендеру</w:t>
      </w:r>
      <w:r w:rsidRPr="00A679D7">
        <w:rPr>
          <w:rFonts w:asciiTheme="minorHAnsi" w:hAnsiTheme="minorHAnsi" w:cstheme="minorHAnsi"/>
          <w:i/>
          <w:color w:val="000000"/>
          <w:spacing w:val="1"/>
          <w:sz w:val="22"/>
          <w:szCs w:val="22"/>
          <w:lang w:val="uk-UA"/>
        </w:rPr>
        <w:t>)</w:t>
      </w: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>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простежити, чи використовує організація для ведення бухгалтерського обліку на постійній основі спеціалізоване програмне забезпечення.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Запросити у Організації-грантера та надати у звіті про фактичні результати узгоджених процедур таблицю доходів та витрат за 2022 рік у розрізі проєктів.</w:t>
      </w:r>
    </w:p>
    <w:p w:rsidR="00C3517B" w:rsidRPr="00A679D7" w:rsidRDefault="00C3517B" w:rsidP="00C3517B">
      <w:pPr>
        <w:numPr>
          <w:ilvl w:val="0"/>
          <w:numId w:val="20"/>
        </w:numPr>
        <w:shd w:val="clear" w:color="auto" w:fill="FFFFFF"/>
        <w:spacing w:after="120" w:line="288" w:lineRule="auto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Запросити у Організації-грантера та надати в звіті про фактичні результати узгоджених процедур інформацію про те, де фізично зберігаються первинні документи.</w:t>
      </w:r>
    </w:p>
    <w:p w:rsidR="00C3517B" w:rsidRDefault="00C3517B" w:rsidP="00A679D7">
      <w:pPr>
        <w:spacing w:after="120" w:line="288" w:lineRule="auto"/>
        <w:ind w:left="720"/>
        <w:jc w:val="center"/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</w:pPr>
    </w:p>
    <w:p w:rsidR="00C3517B" w:rsidRPr="00C3517B" w:rsidRDefault="00C3517B" w:rsidP="00C3517B">
      <w:pPr>
        <w:spacing w:after="120" w:line="288" w:lineRule="auto"/>
        <w:ind w:left="720"/>
        <w:jc w:val="center"/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</w:pPr>
      <w:r w:rsidRPr="00C3517B"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  <w:t>Заключна зустріч</w:t>
      </w:r>
    </w:p>
    <w:p w:rsidR="00C3517B" w:rsidRPr="00A679D7" w:rsidRDefault="00C3517B" w:rsidP="00C3517B">
      <w:pPr>
        <w:shd w:val="clear" w:color="auto" w:fill="FFFFFF"/>
        <w:spacing w:after="120" w:line="288" w:lineRule="auto"/>
        <w:ind w:left="5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Після завершення завдання Аудитор проводить заключну зустріч з особами,</w:t>
      </w:r>
      <w:r w:rsidRPr="00A679D7">
        <w:rPr>
          <w:rFonts w:asciiTheme="minorHAnsi" w:hAnsiTheme="minorHAnsi" w:cstheme="minorHAnsi"/>
          <w:color w:val="000000"/>
          <w:spacing w:val="11"/>
          <w:sz w:val="22"/>
          <w:szCs w:val="22"/>
          <w:lang w:val="uk-UA"/>
        </w:rPr>
        <w:t xml:space="preserve"> </w:t>
      </w: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відповідальними за Проєкт (директорами) та персоналом, відповідальним за облік та </w:t>
      </w:r>
      <w:r w:rsidRPr="00A679D7">
        <w:rPr>
          <w:rFonts w:asciiTheme="minorHAnsi" w:hAnsiTheme="minorHAnsi" w:cstheme="minorHAnsi"/>
          <w:color w:val="000000"/>
          <w:spacing w:val="1"/>
          <w:sz w:val="22"/>
          <w:szCs w:val="22"/>
          <w:lang w:val="uk-UA"/>
        </w:rPr>
        <w:t xml:space="preserve">звітування з метою обговорення </w:t>
      </w:r>
      <w:r w:rsidRPr="00A679D7">
        <w:rPr>
          <w:rFonts w:asciiTheme="minorHAnsi" w:hAnsiTheme="minorHAnsi" w:cstheme="minorHAnsi"/>
          <w:color w:val="000000"/>
          <w:sz w:val="22"/>
          <w:szCs w:val="22"/>
          <w:lang w:val="uk-UA"/>
        </w:rPr>
        <w:t>основних "вузьких місць" в адміністративному та фінансовому управлінні (включаючи повноваження окремих працівників) і висловлення рекомендацій щодо удосконалення управління проєктами, процедур бухгалтерського обліку та системи внутрішнього контролю.</w:t>
      </w:r>
    </w:p>
    <w:p w:rsidR="00C3517B" w:rsidRDefault="00C3517B" w:rsidP="00A679D7">
      <w:pPr>
        <w:spacing w:after="120" w:line="288" w:lineRule="auto"/>
        <w:ind w:left="720"/>
        <w:jc w:val="center"/>
        <w:rPr>
          <w:rFonts w:asciiTheme="minorHAnsi" w:hAnsiTheme="minorHAnsi" w:cstheme="minorHAnsi"/>
          <w:b/>
          <w:spacing w:val="2"/>
          <w:sz w:val="22"/>
          <w:szCs w:val="22"/>
          <w:lang w:val="uk-UA"/>
        </w:rPr>
      </w:pPr>
    </w:p>
    <w:p w:rsidR="00A679D7" w:rsidRPr="00C3517B" w:rsidRDefault="00A679D7" w:rsidP="00A679D7">
      <w:pPr>
        <w:spacing w:after="120" w:line="288" w:lineRule="auto"/>
        <w:ind w:left="720"/>
        <w:jc w:val="center"/>
        <w:rPr>
          <w:rFonts w:asciiTheme="minorHAnsi" w:hAnsiTheme="minorHAnsi" w:cstheme="minorHAnsi"/>
          <w:b/>
          <w:spacing w:val="2"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b/>
          <w:spacing w:val="2"/>
          <w:sz w:val="22"/>
          <w:szCs w:val="22"/>
          <w:lang w:val="en-US"/>
        </w:rPr>
        <w:t xml:space="preserve">The reporting </w:t>
      </w:r>
    </w:p>
    <w:p w:rsidR="00A679D7" w:rsidRPr="00C3517B" w:rsidRDefault="00A679D7" w:rsidP="00A679D7">
      <w:pPr>
        <w:tabs>
          <w:tab w:val="left" w:pos="720"/>
          <w:tab w:val="left" w:pos="1728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The reporting </w:t>
      </w:r>
      <w:proofErr w:type="gramStart"/>
      <w:r w:rsidRPr="00C3517B">
        <w:rPr>
          <w:rFonts w:asciiTheme="minorHAnsi" w:hAnsiTheme="minorHAnsi" w:cstheme="minorHAnsi"/>
          <w:sz w:val="22"/>
          <w:szCs w:val="22"/>
          <w:lang w:val="en-US"/>
        </w:rPr>
        <w:t>shall be signed</w:t>
      </w:r>
      <w:proofErr w:type="gram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 by the responsible auditor (not just the audit firm</w:t>
      </w:r>
      <w:r w:rsidRPr="00C3517B">
        <w:rPr>
          <w:rStyle w:val="FootnoteReference"/>
          <w:rFonts w:asciiTheme="minorHAnsi" w:hAnsiTheme="minorHAnsi" w:cstheme="minorHAnsi"/>
          <w:sz w:val="22"/>
          <w:szCs w:val="22"/>
          <w:lang w:val="en-US"/>
        </w:rPr>
        <w:footnoteReference w:id="3"/>
      </w:r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) and shall include the title of the responsible auditor. </w:t>
      </w: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A679D7" w:rsidRPr="00C3517B" w:rsidRDefault="00A679D7" w:rsidP="00A679D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i/>
          <w:iCs/>
          <w:sz w:val="22"/>
          <w:szCs w:val="22"/>
          <w:lang w:val="en-US"/>
        </w:rPr>
        <w:t>Reporting from the ISA assignment</w:t>
      </w: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The reporting from the auditor shall include an independent auditor’s report in accordance with the format in standard ISA 800/805 and the auditor’s opinion </w:t>
      </w:r>
      <w:proofErr w:type="gramStart"/>
      <w:r w:rsidRPr="00C3517B">
        <w:rPr>
          <w:rFonts w:asciiTheme="minorHAnsi" w:hAnsiTheme="minorHAnsi" w:cstheme="minorHAnsi"/>
          <w:sz w:val="22"/>
          <w:szCs w:val="22"/>
          <w:lang w:val="en-US"/>
        </w:rPr>
        <w:t>shall be clearly stated</w:t>
      </w:r>
      <w:proofErr w:type="gram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.  The financial report that has been </w:t>
      </w:r>
      <w:r w:rsidRPr="00E7535F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 subject of the audit </w:t>
      </w:r>
      <w:proofErr w:type="gramStart"/>
      <w:r w:rsidRPr="00E7535F">
        <w:rPr>
          <w:rFonts w:asciiTheme="minorHAnsi" w:hAnsiTheme="minorHAnsi" w:cstheme="minorHAnsi"/>
          <w:b/>
          <w:sz w:val="22"/>
          <w:szCs w:val="22"/>
          <w:lang w:val="en-US"/>
        </w:rPr>
        <w:t>shall be attached</w:t>
      </w:r>
      <w:proofErr w:type="gramEnd"/>
      <w:r w:rsidRPr="00E7535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to the audit report</w:t>
      </w:r>
      <w:r w:rsidR="00E7535F">
        <w:rPr>
          <w:rFonts w:asciiTheme="minorHAnsi" w:hAnsiTheme="minorHAnsi" w:cstheme="minorHAnsi"/>
          <w:sz w:val="22"/>
          <w:szCs w:val="22"/>
          <w:lang w:val="uk-UA"/>
        </w:rPr>
        <w:t>*</w:t>
      </w:r>
      <w:r w:rsidRPr="00C3517B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The reporting shall also include a Management letter that discloses all audit findings, as well as weaknesses identified during the audit process. The auditor shall make recommendations to address the identified findings and weaknesses. The recommendations </w:t>
      </w:r>
      <w:proofErr w:type="gramStart"/>
      <w:r w:rsidRPr="00C3517B">
        <w:rPr>
          <w:rFonts w:asciiTheme="minorHAnsi" w:hAnsiTheme="minorHAnsi" w:cstheme="minorHAnsi"/>
          <w:sz w:val="22"/>
          <w:szCs w:val="22"/>
          <w:lang w:val="en-US"/>
        </w:rPr>
        <w:t>shall be presented</w:t>
      </w:r>
      <w:proofErr w:type="gram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 in priority order and with a risk classification. </w:t>
      </w: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7535F">
        <w:rPr>
          <w:rFonts w:asciiTheme="minorHAnsi" w:hAnsiTheme="minorHAnsi" w:cstheme="minorHAnsi"/>
          <w:b/>
          <w:sz w:val="22"/>
          <w:szCs w:val="22"/>
          <w:lang w:val="en-US"/>
        </w:rPr>
        <w:t xml:space="preserve">Measures taken by the </w:t>
      </w:r>
      <w:r w:rsidR="00E7535F" w:rsidRPr="00E7535F">
        <w:rPr>
          <w:rFonts w:asciiTheme="minorHAnsi" w:hAnsiTheme="minorHAnsi" w:cstheme="minorHAnsi"/>
          <w:b/>
          <w:sz w:val="22"/>
          <w:szCs w:val="22"/>
          <w:lang w:val="en-US"/>
        </w:rPr>
        <w:t>IP</w:t>
      </w:r>
      <w:r w:rsidR="00E7535F">
        <w:rPr>
          <w:rFonts w:asciiTheme="minorHAnsi" w:hAnsiTheme="minorHAnsi" w:cstheme="minorHAnsi"/>
          <w:sz w:val="22"/>
          <w:szCs w:val="22"/>
          <w:lang w:val="en-US"/>
        </w:rPr>
        <w:t xml:space="preserve">** </w:t>
      </w:r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to address weaknesses identified in previous audits shall also be presented in the Management Letter. If the previous audit did not have any findings or weaknesses to be followed-up on, a clarification of this </w:t>
      </w:r>
      <w:proofErr w:type="gramStart"/>
      <w:r w:rsidRPr="00C3517B">
        <w:rPr>
          <w:rFonts w:asciiTheme="minorHAnsi" w:hAnsiTheme="minorHAnsi" w:cstheme="minorHAnsi"/>
          <w:sz w:val="22"/>
          <w:szCs w:val="22"/>
          <w:lang w:val="en-US"/>
        </w:rPr>
        <w:t>must be disclosed</w:t>
      </w:r>
      <w:proofErr w:type="gram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 in the audit reporting.</w:t>
      </w: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If the auditor assesses that no findings or weaknesses </w:t>
      </w:r>
      <w:proofErr w:type="gramStart"/>
      <w:r w:rsidRPr="00C3517B">
        <w:rPr>
          <w:rFonts w:asciiTheme="minorHAnsi" w:hAnsiTheme="minorHAnsi" w:cstheme="minorHAnsi"/>
          <w:sz w:val="22"/>
          <w:szCs w:val="22"/>
          <w:lang w:val="en-US"/>
        </w:rPr>
        <w:t>have been identified</w:t>
      </w:r>
      <w:proofErr w:type="gram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 during the audit that would result in a Management Letter, an explanation of this assessment must be disclosed in the audit reporting.</w:t>
      </w: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A679D7" w:rsidRPr="00C3517B" w:rsidRDefault="00A679D7" w:rsidP="00A679D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i/>
          <w:iCs/>
          <w:sz w:val="22"/>
          <w:szCs w:val="22"/>
          <w:lang w:val="en-US"/>
        </w:rPr>
        <w:t>Reporting from the ISRS 4400 assignment</w:t>
      </w:r>
    </w:p>
    <w:p w:rsidR="00A679D7" w:rsidRPr="00C3517B" w:rsidRDefault="00A679D7" w:rsidP="00A679D7">
      <w:pPr>
        <w:pStyle w:val="CommentText"/>
        <w:rPr>
          <w:rFonts w:asciiTheme="minorHAnsi" w:hAnsiTheme="minorHAnsi" w:cstheme="minorHAnsi"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The additional assignment according to </w:t>
      </w:r>
      <w:proofErr w:type="spellStart"/>
      <w:r w:rsidRPr="00C3517B">
        <w:rPr>
          <w:rFonts w:asciiTheme="minorHAnsi" w:hAnsiTheme="minorHAnsi" w:cstheme="minorHAnsi"/>
          <w:sz w:val="22"/>
          <w:szCs w:val="22"/>
          <w:lang w:val="en-US"/>
        </w:rPr>
        <w:t>agreed</w:t>
      </w:r>
      <w:proofErr w:type="spell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 upon procedures ISRS 4400 under section II, </w:t>
      </w:r>
      <w:proofErr w:type="gramStart"/>
      <w:r w:rsidRPr="00C3517B">
        <w:rPr>
          <w:rFonts w:asciiTheme="minorHAnsi" w:hAnsiTheme="minorHAnsi" w:cstheme="minorHAnsi"/>
          <w:sz w:val="22"/>
          <w:szCs w:val="22"/>
          <w:lang w:val="en-US"/>
        </w:rPr>
        <w:t>shall be reported</w:t>
      </w:r>
      <w:proofErr w:type="gram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 separately in an “Agreed-upon procedures report”. Performed procedures </w:t>
      </w:r>
      <w:proofErr w:type="gramStart"/>
      <w:r w:rsidRPr="00C3517B">
        <w:rPr>
          <w:rFonts w:asciiTheme="minorHAnsi" w:hAnsiTheme="minorHAnsi" w:cstheme="minorHAnsi"/>
          <w:sz w:val="22"/>
          <w:szCs w:val="22"/>
          <w:lang w:val="en-US"/>
        </w:rPr>
        <w:t>should be described</w:t>
      </w:r>
      <w:proofErr w:type="gram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 and the findings should be reported in accordance with the requirements in the International Standard on Related Services 4400. </w:t>
      </w:r>
    </w:p>
    <w:p w:rsidR="00A679D7" w:rsidRPr="00C3517B" w:rsidRDefault="00A679D7" w:rsidP="00A679D7">
      <w:pPr>
        <w:pStyle w:val="CommentText"/>
        <w:rPr>
          <w:rFonts w:asciiTheme="minorHAnsi" w:hAnsiTheme="minorHAnsi" w:cstheme="minorHAnsi"/>
          <w:sz w:val="22"/>
          <w:szCs w:val="22"/>
          <w:lang w:val="en-US"/>
        </w:rPr>
      </w:pPr>
    </w:p>
    <w:p w:rsidR="00A679D7" w:rsidRPr="00C3517B" w:rsidRDefault="00A679D7" w:rsidP="00A679D7">
      <w:pPr>
        <w:pStyle w:val="CommentText"/>
        <w:rPr>
          <w:rFonts w:asciiTheme="minorHAnsi" w:hAnsiTheme="minorHAnsi" w:cstheme="minorHAnsi"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When applicable, the sample size </w:t>
      </w:r>
      <w:proofErr w:type="gramStart"/>
      <w:r w:rsidRPr="00C3517B">
        <w:rPr>
          <w:rFonts w:asciiTheme="minorHAnsi" w:hAnsiTheme="minorHAnsi" w:cstheme="minorHAnsi"/>
          <w:sz w:val="22"/>
          <w:szCs w:val="22"/>
          <w:lang w:val="en-US"/>
        </w:rPr>
        <w:t>shall be stated</w:t>
      </w:r>
      <w:proofErr w:type="gram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 in the report. </w:t>
      </w:r>
    </w:p>
    <w:p w:rsidR="00A679D7" w:rsidRPr="00C3517B" w:rsidRDefault="00A679D7" w:rsidP="00A679D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The reports shall be prepared in Ukrainian and English, and </w:t>
      </w:r>
      <w:proofErr w:type="gramStart"/>
      <w:r w:rsidRPr="00C3517B">
        <w:rPr>
          <w:rFonts w:asciiTheme="minorHAnsi" w:hAnsiTheme="minorHAnsi" w:cstheme="minorHAnsi"/>
          <w:sz w:val="22"/>
          <w:szCs w:val="22"/>
          <w:lang w:val="en-US"/>
        </w:rPr>
        <w:t>shall be submitted</w:t>
      </w:r>
      <w:proofErr w:type="gramEnd"/>
      <w:r w:rsidRPr="00C3517B">
        <w:rPr>
          <w:rFonts w:asciiTheme="minorHAnsi" w:hAnsiTheme="minorHAnsi" w:cstheme="minorHAnsi"/>
          <w:sz w:val="22"/>
          <w:szCs w:val="22"/>
          <w:lang w:val="en-US"/>
        </w:rPr>
        <w:t xml:space="preserve"> to the organization in two hard copies each (one copy must be submitted to the Embassy of Sweden in Ukraine) and digital copies in PDF format.</w:t>
      </w:r>
    </w:p>
    <w:p w:rsidR="00A679D7" w:rsidRPr="00A679D7" w:rsidRDefault="00A679D7" w:rsidP="00A679D7">
      <w:pPr>
        <w:rPr>
          <w:rFonts w:asciiTheme="minorHAnsi" w:hAnsiTheme="minorHAnsi" w:cstheme="minorHAnsi"/>
          <w:sz w:val="22"/>
          <w:szCs w:val="22"/>
          <w:lang w:val="en-US" w:eastAsia="sv-SE"/>
        </w:rPr>
      </w:pPr>
    </w:p>
    <w:p w:rsidR="00447442" w:rsidRPr="00A679D7" w:rsidRDefault="00447442" w:rsidP="00447442">
      <w:pPr>
        <w:shd w:val="clear" w:color="auto" w:fill="FFFFFF"/>
        <w:spacing w:after="120" w:line="288" w:lineRule="auto"/>
        <w:ind w:left="5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</w:pPr>
      <w:r w:rsidRPr="00A679D7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 xml:space="preserve">Обсяг звіту не повинен перевищувати 20 сторінок. Звіт має бути підготовлений </w:t>
      </w:r>
      <w:r w:rsidRPr="00A679D7">
        <w:rPr>
          <w:rFonts w:asciiTheme="minorHAnsi" w:hAnsiTheme="minorHAnsi" w:cstheme="minorHAnsi"/>
          <w:b/>
          <w:color w:val="000000"/>
          <w:spacing w:val="2"/>
          <w:sz w:val="22"/>
          <w:szCs w:val="22"/>
          <w:lang w:val="uk-UA"/>
        </w:rPr>
        <w:t>англійською та українською мовами</w:t>
      </w:r>
      <w:r w:rsidRPr="00A679D7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 xml:space="preserve"> та має бути наданий Замовнику у двох друкован</w:t>
      </w:r>
      <w:bookmarkStart w:id="0" w:name="_GoBack"/>
      <w:bookmarkEnd w:id="0"/>
      <w:r w:rsidRPr="00A679D7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>их примірниках кожною мовою, а також надісланий в електронній формі до Організації згідно із Термінами надання послуг аудиту.</w:t>
      </w:r>
    </w:p>
    <w:p w:rsidR="00E7535F" w:rsidRPr="00447442" w:rsidRDefault="00E7535F" w:rsidP="007B0CFD">
      <w:pPr>
        <w:shd w:val="clear" w:color="auto" w:fill="FFFFFF"/>
        <w:spacing w:after="120" w:line="288" w:lineRule="auto"/>
        <w:ind w:left="5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</w:pPr>
      <w:r w:rsidRPr="00447442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>_____________________</w:t>
      </w:r>
    </w:p>
    <w:p w:rsidR="00E7535F" w:rsidRDefault="00E7535F" w:rsidP="007B0CFD">
      <w:pPr>
        <w:shd w:val="clear" w:color="auto" w:fill="FFFFFF"/>
        <w:spacing w:after="120" w:line="288" w:lineRule="auto"/>
        <w:ind w:left="5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</w:pPr>
      <w:r w:rsidRPr="00E7535F">
        <w:rPr>
          <w:rFonts w:asciiTheme="minorHAnsi" w:hAnsiTheme="minorHAnsi" w:cstheme="minorHAnsi"/>
          <w:b/>
          <w:color w:val="000000"/>
          <w:spacing w:val="2"/>
          <w:sz w:val="22"/>
          <w:szCs w:val="22"/>
          <w:lang w:val="uk-UA"/>
        </w:rPr>
        <w:t>*</w:t>
      </w:r>
      <w:r w:rsidRPr="00E7535F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 xml:space="preserve"> </w:t>
      </w:r>
      <w:r w:rsidR="00447442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 xml:space="preserve"> </w:t>
      </w:r>
      <w:r w:rsidRPr="00A679D7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 xml:space="preserve">Фінансовий звіт Організації, який був одним із предметів аудиту, додається до аудиторської звітності </w:t>
      </w:r>
      <w:r w:rsidRPr="00A679D7">
        <w:rPr>
          <w:rFonts w:asciiTheme="minorHAnsi" w:hAnsiTheme="minorHAnsi" w:cstheme="minorHAnsi"/>
          <w:i/>
          <w:color w:val="000000"/>
          <w:spacing w:val="2"/>
          <w:sz w:val="22"/>
          <w:szCs w:val="22"/>
          <w:lang w:val="uk-UA"/>
        </w:rPr>
        <w:t xml:space="preserve">(стосується </w:t>
      </w:r>
      <w:r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13-ти Організацій, що перелічені у </w:t>
      </w:r>
      <w:r w:rsidRPr="00A679D7">
        <w:rPr>
          <w:rFonts w:asciiTheme="minorHAnsi" w:hAnsiTheme="minorHAnsi" w:cstheme="minorHAnsi"/>
          <w:bCs/>
          <w:i/>
          <w:sz w:val="22"/>
          <w:szCs w:val="22"/>
          <w:u w:val="single"/>
          <w:lang w:val="uk-UA"/>
        </w:rPr>
        <w:t>Додатку 3,</w:t>
      </w:r>
      <w:r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та 11-ти Організацій, що перелічені у </w:t>
      </w:r>
      <w:r w:rsidRPr="00A679D7">
        <w:rPr>
          <w:rFonts w:asciiTheme="minorHAnsi" w:hAnsiTheme="minorHAnsi" w:cstheme="minorHAnsi"/>
          <w:bCs/>
          <w:i/>
          <w:sz w:val="22"/>
          <w:szCs w:val="22"/>
          <w:u w:val="single"/>
          <w:lang w:val="uk-UA"/>
        </w:rPr>
        <w:t>Додатку 4</w:t>
      </w:r>
      <w:r w:rsidRPr="00A679D7">
        <w:rPr>
          <w:rFonts w:asciiTheme="minorHAnsi" w:hAnsiTheme="minorHAnsi" w:cstheme="minorHAnsi"/>
          <w:bCs/>
          <w:i/>
          <w:sz w:val="22"/>
          <w:szCs w:val="22"/>
          <w:lang w:val="uk-UA"/>
        </w:rPr>
        <w:t>, до оголошення тендеру</w:t>
      </w:r>
      <w:r w:rsidRPr="00A679D7">
        <w:rPr>
          <w:rFonts w:asciiTheme="minorHAnsi" w:hAnsiTheme="minorHAnsi" w:cstheme="minorHAnsi"/>
          <w:i/>
          <w:color w:val="000000"/>
          <w:spacing w:val="2"/>
          <w:sz w:val="22"/>
          <w:szCs w:val="22"/>
          <w:lang w:val="uk-UA"/>
        </w:rPr>
        <w:t>).</w:t>
      </w:r>
    </w:p>
    <w:p w:rsidR="00E7535F" w:rsidRPr="00447442" w:rsidRDefault="00E7535F" w:rsidP="007B0CFD">
      <w:pPr>
        <w:shd w:val="clear" w:color="auto" w:fill="FFFFFF"/>
        <w:spacing w:after="120" w:line="288" w:lineRule="auto"/>
        <w:ind w:left="5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</w:pPr>
      <w:r w:rsidRPr="00E7535F">
        <w:rPr>
          <w:rFonts w:asciiTheme="minorHAnsi" w:hAnsiTheme="minorHAnsi" w:cstheme="minorHAnsi"/>
          <w:b/>
          <w:color w:val="000000"/>
          <w:spacing w:val="2"/>
          <w:sz w:val="22"/>
          <w:szCs w:val="22"/>
          <w:lang w:val="uk-UA"/>
        </w:rPr>
        <w:t>**</w:t>
      </w:r>
      <w:r w:rsidRPr="00447442">
        <w:rPr>
          <w:rFonts w:asciiTheme="minorHAnsi" w:hAnsiTheme="minorHAnsi" w:cstheme="minorHAnsi"/>
          <w:color w:val="000000"/>
          <w:spacing w:val="2"/>
          <w:sz w:val="22"/>
          <w:szCs w:val="22"/>
          <w:lang w:val="ru-RU"/>
        </w:rPr>
        <w:t xml:space="preserve">  </w:t>
      </w:r>
      <w:r w:rsidR="00447442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 xml:space="preserve">Інформація про реагування на зауваження/ рекомендації попереднього аудиту стосується </w:t>
      </w:r>
      <w:r w:rsidR="00447442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 xml:space="preserve">лише організацій-грантоотримувачів </w:t>
      </w:r>
      <w:r w:rsidR="00447442">
        <w:rPr>
          <w:rFonts w:asciiTheme="minorHAnsi" w:hAnsiTheme="minorHAnsi" w:cstheme="minorHAnsi"/>
          <w:color w:val="000000"/>
          <w:spacing w:val="2"/>
          <w:sz w:val="22"/>
          <w:szCs w:val="22"/>
          <w:lang w:val="en-US"/>
        </w:rPr>
        <w:t>EPAIU</w:t>
      </w:r>
      <w:r w:rsidR="00447442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>, які</w:t>
      </w:r>
      <w:r w:rsidR="00447442"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  <w:t xml:space="preserve"> проходили аудит за реалізацію проєктів у 2021 році.</w:t>
      </w:r>
    </w:p>
    <w:p w:rsidR="00FA2B30" w:rsidRPr="00A679D7" w:rsidRDefault="00FA2B30" w:rsidP="007B0CFD">
      <w:pPr>
        <w:shd w:val="clear" w:color="auto" w:fill="FFFFFF"/>
        <w:spacing w:after="120" w:line="288" w:lineRule="auto"/>
        <w:ind w:left="5"/>
        <w:jc w:val="both"/>
        <w:rPr>
          <w:rFonts w:asciiTheme="minorHAnsi" w:hAnsiTheme="minorHAnsi" w:cstheme="minorHAnsi"/>
          <w:i/>
          <w:color w:val="000000"/>
          <w:spacing w:val="2"/>
          <w:sz w:val="22"/>
          <w:szCs w:val="22"/>
          <w:lang w:val="uk-UA"/>
        </w:rPr>
      </w:pPr>
    </w:p>
    <w:p w:rsidR="00447442" w:rsidRPr="00A679D7" w:rsidRDefault="00447442">
      <w:pPr>
        <w:shd w:val="clear" w:color="auto" w:fill="FFFFFF"/>
        <w:spacing w:after="120" w:line="288" w:lineRule="auto"/>
        <w:ind w:left="5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  <w:lang w:val="uk-UA"/>
        </w:rPr>
      </w:pPr>
    </w:p>
    <w:sectPr w:rsidR="00447442" w:rsidRPr="00A679D7" w:rsidSect="00F96E4A">
      <w:type w:val="continuous"/>
      <w:pgSz w:w="11909" w:h="16834"/>
      <w:pgMar w:top="1404" w:right="851" w:bottom="35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ED" w:rsidRDefault="009941ED" w:rsidP="00A679D7">
      <w:r>
        <w:separator/>
      </w:r>
    </w:p>
  </w:endnote>
  <w:endnote w:type="continuationSeparator" w:id="0">
    <w:p w:rsidR="009941ED" w:rsidRDefault="009941ED" w:rsidP="00A6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ED" w:rsidRDefault="009941ED" w:rsidP="00A679D7">
      <w:r>
        <w:separator/>
      </w:r>
    </w:p>
  </w:footnote>
  <w:footnote w:type="continuationSeparator" w:id="0">
    <w:p w:rsidR="009941ED" w:rsidRDefault="009941ED" w:rsidP="00A679D7">
      <w:r>
        <w:continuationSeparator/>
      </w:r>
    </w:p>
  </w:footnote>
  <w:footnote w:id="1">
    <w:p w:rsidR="00A679D7" w:rsidRPr="00494E18" w:rsidRDefault="00A679D7" w:rsidP="00A679D7">
      <w:pPr>
        <w:pStyle w:val="FootnoteText"/>
      </w:pPr>
      <w:r>
        <w:rPr>
          <w:rStyle w:val="FootnoteReference"/>
        </w:rPr>
        <w:footnoteRef/>
      </w:r>
      <w:r>
        <w:t xml:space="preserve"> Deemed substantial by the Cooperation partner.</w:t>
      </w:r>
    </w:p>
  </w:footnote>
  <w:footnote w:id="2">
    <w:p w:rsidR="00A679D7" w:rsidRPr="00494E18" w:rsidRDefault="00A679D7" w:rsidP="00A679D7">
      <w:pPr>
        <w:pStyle w:val="FootnoteText"/>
      </w:pPr>
      <w:r>
        <w:rPr>
          <w:rStyle w:val="FootnoteReference"/>
        </w:rPr>
        <w:footnoteRef/>
      </w:r>
      <w:r>
        <w:t xml:space="preserve"> Observations included in Management Letters and if applicable, qualified audit reports.</w:t>
      </w:r>
    </w:p>
  </w:footnote>
  <w:footnote w:id="3">
    <w:p w:rsidR="00A679D7" w:rsidRDefault="00A679D7" w:rsidP="00A679D7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 w:rsidRPr="001007B6">
        <w:rPr>
          <w:sz w:val="20"/>
          <w:szCs w:val="20"/>
        </w:rPr>
        <w:t>If the audit firm is obliged to sign, refer to relevant legislation. Sida still needs to know who has been responsible for the audit assignment.</w:t>
      </w:r>
    </w:p>
    <w:p w:rsidR="00A679D7" w:rsidRPr="001007B6" w:rsidRDefault="00A679D7" w:rsidP="00A679D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F47E7A"/>
    <w:lvl w:ilvl="0">
      <w:numFmt w:val="bullet"/>
      <w:lvlText w:val="*"/>
      <w:lvlJc w:val="left"/>
    </w:lvl>
  </w:abstractNum>
  <w:abstractNum w:abstractNumId="1" w15:restartNumberingAfterBreak="0">
    <w:nsid w:val="02814710"/>
    <w:multiLevelType w:val="singleLevel"/>
    <w:tmpl w:val="C672A794"/>
    <w:lvl w:ilvl="0">
      <w:start w:val="1"/>
      <w:numFmt w:val="decimal"/>
      <w:lvlText w:val="8.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C266B1"/>
    <w:multiLevelType w:val="hybridMultilevel"/>
    <w:tmpl w:val="FF840F2A"/>
    <w:lvl w:ilvl="0" w:tplc="1054D0C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35B2"/>
    <w:multiLevelType w:val="hybridMultilevel"/>
    <w:tmpl w:val="6E58A4E8"/>
    <w:lvl w:ilvl="0" w:tplc="3D3A34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D6B89"/>
    <w:multiLevelType w:val="multilevel"/>
    <w:tmpl w:val="670000C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36"/>
        </w:tabs>
        <w:ind w:left="4336" w:hanging="1440"/>
      </w:pPr>
      <w:rPr>
        <w:rFonts w:hint="default"/>
      </w:rPr>
    </w:lvl>
  </w:abstractNum>
  <w:abstractNum w:abstractNumId="5" w15:restartNumberingAfterBreak="0">
    <w:nsid w:val="193E0B9E"/>
    <w:multiLevelType w:val="singleLevel"/>
    <w:tmpl w:val="B65A48AC"/>
    <w:lvl w:ilvl="0">
      <w:start w:val="1"/>
      <w:numFmt w:val="decimal"/>
      <w:lvlText w:val="2.1.%1."/>
      <w:legacy w:legacy="1" w:legacySpace="0" w:legacyIndent="725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F2C16EC"/>
    <w:multiLevelType w:val="multilevel"/>
    <w:tmpl w:val="DF7651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D962D6"/>
    <w:multiLevelType w:val="hybridMultilevel"/>
    <w:tmpl w:val="584E07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5B8A"/>
    <w:multiLevelType w:val="hybridMultilevel"/>
    <w:tmpl w:val="1E9ED51C"/>
    <w:lvl w:ilvl="0" w:tplc="0422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4" w:hanging="360"/>
      </w:pPr>
    </w:lvl>
    <w:lvl w:ilvl="2" w:tplc="0422001B" w:tentative="1">
      <w:start w:val="1"/>
      <w:numFmt w:val="lowerRoman"/>
      <w:lvlText w:val="%3."/>
      <w:lvlJc w:val="right"/>
      <w:pPr>
        <w:ind w:left="2174" w:hanging="180"/>
      </w:pPr>
    </w:lvl>
    <w:lvl w:ilvl="3" w:tplc="0422000F" w:tentative="1">
      <w:start w:val="1"/>
      <w:numFmt w:val="decimal"/>
      <w:lvlText w:val="%4."/>
      <w:lvlJc w:val="left"/>
      <w:pPr>
        <w:ind w:left="2894" w:hanging="360"/>
      </w:pPr>
    </w:lvl>
    <w:lvl w:ilvl="4" w:tplc="04220019" w:tentative="1">
      <w:start w:val="1"/>
      <w:numFmt w:val="lowerLetter"/>
      <w:lvlText w:val="%5."/>
      <w:lvlJc w:val="left"/>
      <w:pPr>
        <w:ind w:left="3614" w:hanging="360"/>
      </w:pPr>
    </w:lvl>
    <w:lvl w:ilvl="5" w:tplc="0422001B" w:tentative="1">
      <w:start w:val="1"/>
      <w:numFmt w:val="lowerRoman"/>
      <w:lvlText w:val="%6."/>
      <w:lvlJc w:val="right"/>
      <w:pPr>
        <w:ind w:left="4334" w:hanging="180"/>
      </w:pPr>
    </w:lvl>
    <w:lvl w:ilvl="6" w:tplc="0422000F" w:tentative="1">
      <w:start w:val="1"/>
      <w:numFmt w:val="decimal"/>
      <w:lvlText w:val="%7."/>
      <w:lvlJc w:val="left"/>
      <w:pPr>
        <w:ind w:left="5054" w:hanging="360"/>
      </w:pPr>
    </w:lvl>
    <w:lvl w:ilvl="7" w:tplc="04220019" w:tentative="1">
      <w:start w:val="1"/>
      <w:numFmt w:val="lowerLetter"/>
      <w:lvlText w:val="%8."/>
      <w:lvlJc w:val="left"/>
      <w:pPr>
        <w:ind w:left="5774" w:hanging="360"/>
      </w:pPr>
    </w:lvl>
    <w:lvl w:ilvl="8" w:tplc="0422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33AD22EE"/>
    <w:multiLevelType w:val="hybridMultilevel"/>
    <w:tmpl w:val="833E5E86"/>
    <w:lvl w:ilvl="0" w:tplc="3D3A340E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42601873"/>
    <w:multiLevelType w:val="hybridMultilevel"/>
    <w:tmpl w:val="50D09DC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754DF"/>
    <w:multiLevelType w:val="hybridMultilevel"/>
    <w:tmpl w:val="856E4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5163"/>
    <w:multiLevelType w:val="singleLevel"/>
    <w:tmpl w:val="12886814"/>
    <w:lvl w:ilvl="0">
      <w:start w:val="13"/>
      <w:numFmt w:val="decimal"/>
      <w:lvlText w:val="8.1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01C065D"/>
    <w:multiLevelType w:val="hybridMultilevel"/>
    <w:tmpl w:val="B5203EDA"/>
    <w:lvl w:ilvl="0" w:tplc="2522166C">
      <w:start w:val="1"/>
      <w:numFmt w:val="lowerLetter"/>
      <w:lvlText w:val="%1)"/>
      <w:lvlJc w:val="left"/>
      <w:pPr>
        <w:ind w:left="10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5" w:hanging="360"/>
      </w:pPr>
    </w:lvl>
    <w:lvl w:ilvl="2" w:tplc="0422001B" w:tentative="1">
      <w:start w:val="1"/>
      <w:numFmt w:val="lowerRoman"/>
      <w:lvlText w:val="%3."/>
      <w:lvlJc w:val="right"/>
      <w:pPr>
        <w:ind w:left="2525" w:hanging="180"/>
      </w:pPr>
    </w:lvl>
    <w:lvl w:ilvl="3" w:tplc="0422000F" w:tentative="1">
      <w:start w:val="1"/>
      <w:numFmt w:val="decimal"/>
      <w:lvlText w:val="%4."/>
      <w:lvlJc w:val="left"/>
      <w:pPr>
        <w:ind w:left="3245" w:hanging="360"/>
      </w:pPr>
    </w:lvl>
    <w:lvl w:ilvl="4" w:tplc="04220019" w:tentative="1">
      <w:start w:val="1"/>
      <w:numFmt w:val="lowerLetter"/>
      <w:lvlText w:val="%5."/>
      <w:lvlJc w:val="left"/>
      <w:pPr>
        <w:ind w:left="3965" w:hanging="360"/>
      </w:pPr>
    </w:lvl>
    <w:lvl w:ilvl="5" w:tplc="0422001B" w:tentative="1">
      <w:start w:val="1"/>
      <w:numFmt w:val="lowerRoman"/>
      <w:lvlText w:val="%6."/>
      <w:lvlJc w:val="right"/>
      <w:pPr>
        <w:ind w:left="4685" w:hanging="180"/>
      </w:pPr>
    </w:lvl>
    <w:lvl w:ilvl="6" w:tplc="0422000F" w:tentative="1">
      <w:start w:val="1"/>
      <w:numFmt w:val="decimal"/>
      <w:lvlText w:val="%7."/>
      <w:lvlJc w:val="left"/>
      <w:pPr>
        <w:ind w:left="5405" w:hanging="360"/>
      </w:pPr>
    </w:lvl>
    <w:lvl w:ilvl="7" w:tplc="04220019" w:tentative="1">
      <w:start w:val="1"/>
      <w:numFmt w:val="lowerLetter"/>
      <w:lvlText w:val="%8."/>
      <w:lvlJc w:val="left"/>
      <w:pPr>
        <w:ind w:left="6125" w:hanging="360"/>
      </w:pPr>
    </w:lvl>
    <w:lvl w:ilvl="8" w:tplc="0422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4" w15:restartNumberingAfterBreak="0">
    <w:nsid w:val="5DDA3670"/>
    <w:multiLevelType w:val="multilevel"/>
    <w:tmpl w:val="07E8A4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E3A32D3"/>
    <w:multiLevelType w:val="singleLevel"/>
    <w:tmpl w:val="9D72CFCE"/>
    <w:lvl w:ilvl="0">
      <w:start w:val="1"/>
      <w:numFmt w:val="decimal"/>
      <w:lvlText w:val="1.%1."/>
      <w:legacy w:legacy="1" w:legacySpace="0" w:legacyIndent="696"/>
      <w:lvlJc w:val="left"/>
      <w:rPr>
        <w:rFonts w:asciiTheme="minorHAnsi" w:hAnsiTheme="minorHAnsi" w:cstheme="minorHAnsi" w:hint="default"/>
      </w:rPr>
    </w:lvl>
  </w:abstractNum>
  <w:abstractNum w:abstractNumId="16" w15:restartNumberingAfterBreak="0">
    <w:nsid w:val="6BEF7452"/>
    <w:multiLevelType w:val="hybridMultilevel"/>
    <w:tmpl w:val="6B6A39F4"/>
    <w:lvl w:ilvl="0" w:tplc="AD7C22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51743"/>
    <w:multiLevelType w:val="hybridMultilevel"/>
    <w:tmpl w:val="CB980498"/>
    <w:lvl w:ilvl="0" w:tplc="FBA23202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422A7"/>
    <w:multiLevelType w:val="hybridMultilevel"/>
    <w:tmpl w:val="4932861C"/>
    <w:lvl w:ilvl="0" w:tplc="3D3A3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8.1.%1"/>
        <w:legacy w:legacy="1" w:legacySpace="0" w:legacyIndent="71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11"/>
  </w:num>
  <w:num w:numId="14">
    <w:abstractNumId w:val="17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  <w:num w:numId="19">
    <w:abstractNumId w:val="18"/>
  </w:num>
  <w:num w:numId="20">
    <w:abstractNumId w:val="8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65"/>
    <w:rsid w:val="0001048A"/>
    <w:rsid w:val="00014B2F"/>
    <w:rsid w:val="00033E9B"/>
    <w:rsid w:val="00064136"/>
    <w:rsid w:val="00070947"/>
    <w:rsid w:val="000A21B8"/>
    <w:rsid w:val="000C3586"/>
    <w:rsid w:val="000C6590"/>
    <w:rsid w:val="001224D0"/>
    <w:rsid w:val="001E05F3"/>
    <w:rsid w:val="0020186D"/>
    <w:rsid w:val="00244CE6"/>
    <w:rsid w:val="00256B1B"/>
    <w:rsid w:val="002659BB"/>
    <w:rsid w:val="002A2B79"/>
    <w:rsid w:val="002B4984"/>
    <w:rsid w:val="002C40FC"/>
    <w:rsid w:val="002C772E"/>
    <w:rsid w:val="002F795D"/>
    <w:rsid w:val="003B593B"/>
    <w:rsid w:val="003B734D"/>
    <w:rsid w:val="003E1C8F"/>
    <w:rsid w:val="003E48C4"/>
    <w:rsid w:val="003F2EFC"/>
    <w:rsid w:val="003F5865"/>
    <w:rsid w:val="0043079B"/>
    <w:rsid w:val="00447442"/>
    <w:rsid w:val="00457D6F"/>
    <w:rsid w:val="004A44D3"/>
    <w:rsid w:val="004C7BD9"/>
    <w:rsid w:val="004E585C"/>
    <w:rsid w:val="004F3796"/>
    <w:rsid w:val="005457A8"/>
    <w:rsid w:val="00584CFB"/>
    <w:rsid w:val="005927AB"/>
    <w:rsid w:val="00594C13"/>
    <w:rsid w:val="00597D98"/>
    <w:rsid w:val="005C7BC7"/>
    <w:rsid w:val="005F1488"/>
    <w:rsid w:val="0060550D"/>
    <w:rsid w:val="00605BA2"/>
    <w:rsid w:val="00626339"/>
    <w:rsid w:val="00642A09"/>
    <w:rsid w:val="00643435"/>
    <w:rsid w:val="006538E7"/>
    <w:rsid w:val="00656A28"/>
    <w:rsid w:val="006C0CE1"/>
    <w:rsid w:val="006F1091"/>
    <w:rsid w:val="007257CE"/>
    <w:rsid w:val="00762436"/>
    <w:rsid w:val="00766AE4"/>
    <w:rsid w:val="00796A53"/>
    <w:rsid w:val="007B0CFD"/>
    <w:rsid w:val="007C5FD7"/>
    <w:rsid w:val="007E1837"/>
    <w:rsid w:val="00807E14"/>
    <w:rsid w:val="00810D50"/>
    <w:rsid w:val="008121E1"/>
    <w:rsid w:val="00812302"/>
    <w:rsid w:val="00815C29"/>
    <w:rsid w:val="00850DB8"/>
    <w:rsid w:val="00851B2B"/>
    <w:rsid w:val="008637B2"/>
    <w:rsid w:val="008672E5"/>
    <w:rsid w:val="0087256D"/>
    <w:rsid w:val="008752F9"/>
    <w:rsid w:val="00924857"/>
    <w:rsid w:val="00960AC1"/>
    <w:rsid w:val="00963B30"/>
    <w:rsid w:val="0097660E"/>
    <w:rsid w:val="009941ED"/>
    <w:rsid w:val="009D53C9"/>
    <w:rsid w:val="009E68AA"/>
    <w:rsid w:val="00A2132B"/>
    <w:rsid w:val="00A61894"/>
    <w:rsid w:val="00A670EE"/>
    <w:rsid w:val="00A679D7"/>
    <w:rsid w:val="00A71635"/>
    <w:rsid w:val="00AA4907"/>
    <w:rsid w:val="00AD2AFF"/>
    <w:rsid w:val="00AE023F"/>
    <w:rsid w:val="00AE3D23"/>
    <w:rsid w:val="00B24872"/>
    <w:rsid w:val="00B35C6B"/>
    <w:rsid w:val="00B50A9B"/>
    <w:rsid w:val="00BC2A55"/>
    <w:rsid w:val="00BD6109"/>
    <w:rsid w:val="00C03BCD"/>
    <w:rsid w:val="00C04D67"/>
    <w:rsid w:val="00C256F8"/>
    <w:rsid w:val="00C3517B"/>
    <w:rsid w:val="00C40BE3"/>
    <w:rsid w:val="00C443A2"/>
    <w:rsid w:val="00C5239E"/>
    <w:rsid w:val="00C54959"/>
    <w:rsid w:val="00C73174"/>
    <w:rsid w:val="00CA40C9"/>
    <w:rsid w:val="00CC0041"/>
    <w:rsid w:val="00CE4C20"/>
    <w:rsid w:val="00D27043"/>
    <w:rsid w:val="00D5029A"/>
    <w:rsid w:val="00D75C6D"/>
    <w:rsid w:val="00D95C10"/>
    <w:rsid w:val="00E25647"/>
    <w:rsid w:val="00E458E7"/>
    <w:rsid w:val="00E465DF"/>
    <w:rsid w:val="00E7368B"/>
    <w:rsid w:val="00E7535F"/>
    <w:rsid w:val="00E925BE"/>
    <w:rsid w:val="00EB02C5"/>
    <w:rsid w:val="00F91824"/>
    <w:rsid w:val="00F95443"/>
    <w:rsid w:val="00F96E4A"/>
    <w:rsid w:val="00FA2B30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B1C3AF-019D-461C-857D-07092D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de-CH" w:eastAsia="de-CH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3079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1E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rsid w:val="006F1091"/>
    <w:pPr>
      <w:spacing w:line="300" w:lineRule="auto"/>
      <w:ind w:left="284" w:hanging="284"/>
    </w:pPr>
    <w:rPr>
      <w:rFonts w:ascii="Bookman Old Style" w:hAnsi="Bookman Old Style"/>
      <w:sz w:val="24"/>
      <w:lang w:val="x-none" w:eastAsia="x-none"/>
    </w:rPr>
  </w:style>
  <w:style w:type="character" w:customStyle="1" w:styleId="BodyTextChar">
    <w:name w:val="Body Text Char"/>
    <w:link w:val="BodyText"/>
    <w:rsid w:val="006F1091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BC2A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Heading3Char">
    <w:name w:val="Heading 3 Char"/>
    <w:link w:val="Heading3"/>
    <w:uiPriority w:val="9"/>
    <w:rsid w:val="0043079B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43079B"/>
    <w:rPr>
      <w:color w:val="0000FF"/>
      <w:u w:val="single"/>
    </w:rPr>
  </w:style>
  <w:style w:type="character" w:customStyle="1" w:styleId="tlid-translation">
    <w:name w:val="tlid-translation"/>
    <w:rsid w:val="00F96E4A"/>
  </w:style>
  <w:style w:type="character" w:styleId="Strong">
    <w:name w:val="Strong"/>
    <w:uiPriority w:val="99"/>
    <w:qFormat/>
    <w:rsid w:val="00F96E4A"/>
    <w:rPr>
      <w:rFonts w:cs="Times New Roman"/>
      <w:b/>
      <w:bCs/>
    </w:rPr>
  </w:style>
  <w:style w:type="paragraph" w:customStyle="1" w:styleId="Normal1">
    <w:name w:val="Normal1"/>
    <w:rsid w:val="00F96E4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FA2B30"/>
    <w:pPr>
      <w:ind w:left="720"/>
      <w:contextualSpacing/>
    </w:pPr>
  </w:style>
  <w:style w:type="table" w:styleId="TableGrid">
    <w:name w:val="Table Grid"/>
    <w:basedOn w:val="TableNormal"/>
    <w:rsid w:val="00A6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CA40C9"/>
  </w:style>
  <w:style w:type="character" w:customStyle="1" w:styleId="viiyi">
    <w:name w:val="viiyi"/>
    <w:basedOn w:val="DefaultParagraphFont"/>
    <w:rsid w:val="00064136"/>
  </w:style>
  <w:style w:type="character" w:customStyle="1" w:styleId="rynqvb">
    <w:name w:val="rynqvb"/>
    <w:basedOn w:val="DefaultParagraphFont"/>
    <w:rsid w:val="00960AC1"/>
  </w:style>
  <w:style w:type="character" w:customStyle="1" w:styleId="Heading2Char">
    <w:name w:val="Heading 2 Char"/>
    <w:basedOn w:val="DefaultParagraphFont"/>
    <w:link w:val="Heading2"/>
    <w:semiHidden/>
    <w:rsid w:val="00A679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 w:eastAsia="de-CH"/>
    </w:rPr>
  </w:style>
  <w:style w:type="paragraph" w:styleId="BodyTextIndent3">
    <w:name w:val="Body Text Indent 3"/>
    <w:basedOn w:val="Normal"/>
    <w:link w:val="BodyTextIndent3Char"/>
    <w:rsid w:val="00A679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9D7"/>
    <w:rPr>
      <w:sz w:val="16"/>
      <w:szCs w:val="16"/>
      <w:lang w:val="de-CH" w:eastAsia="de-CH"/>
    </w:rPr>
  </w:style>
  <w:style w:type="paragraph" w:styleId="FootnoteText">
    <w:name w:val="footnote text"/>
    <w:basedOn w:val="Normal"/>
    <w:link w:val="FootnoteTextChar"/>
    <w:rsid w:val="00A679D7"/>
    <w:pPr>
      <w:widowControl/>
      <w:autoSpaceDE/>
      <w:autoSpaceDN/>
      <w:adjustRightInd/>
      <w:spacing w:line="300" w:lineRule="atLeast"/>
    </w:pPr>
    <w:rPr>
      <w:rFonts w:cs="Arial"/>
      <w:lang w:val="en-GB" w:eastAsia="sv-SE"/>
    </w:rPr>
  </w:style>
  <w:style w:type="character" w:customStyle="1" w:styleId="FootnoteTextChar">
    <w:name w:val="Footnote Text Char"/>
    <w:basedOn w:val="DefaultParagraphFont"/>
    <w:link w:val="FootnoteText"/>
    <w:rsid w:val="00A679D7"/>
    <w:rPr>
      <w:rFonts w:cs="Arial"/>
      <w:lang w:val="en-GB" w:eastAsia="sv-SE"/>
    </w:rPr>
  </w:style>
  <w:style w:type="character" w:styleId="FootnoteReference">
    <w:name w:val="footnote reference"/>
    <w:basedOn w:val="DefaultParagraphFont"/>
    <w:rsid w:val="00A679D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rsid w:val="00A679D7"/>
    <w:pPr>
      <w:widowControl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/>
      <w:autoSpaceDN/>
      <w:adjustRightInd/>
      <w:spacing w:line="300" w:lineRule="atLeast"/>
    </w:pPr>
    <w:rPr>
      <w:rFonts w:cs="Arial"/>
      <w:color w:val="000000"/>
      <w:sz w:val="24"/>
      <w:szCs w:val="24"/>
      <w:lang w:val="en-GB"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9D7"/>
    <w:rPr>
      <w:rFonts w:cs="Arial"/>
      <w:color w:val="000000"/>
      <w:sz w:val="24"/>
      <w:szCs w:val="24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B3A1-0BAB-43EB-AB2D-777B2503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8371</Words>
  <Characters>4773</Characters>
  <Application>Microsoft Office Word</Application>
  <DocSecurity>0</DocSecurity>
  <Lines>39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ТЕХНІЧНЕ ЗАВДАННЯ ПРИ ПРОВЕДЕННІ ФІНАНСОВОЇ РЕВІЗІЇ</vt:lpstr>
      <vt:lpstr>ТЕХНІЧНЕ ЗАВДАННЯ ПРИ ПРОВЕДЕННІ ФІНАНСОВОЇ РЕВІЗІЇ</vt:lpstr>
      <vt:lpstr>ТЕХНІЧНЕ ЗАВДАННЯ ПРИ ПРОВЕДЕННІ ФІНАНСОВОЇ РЕВІЗІЇ</vt:lpstr>
    </vt:vector>
  </TitlesOfParts>
  <Company>EDA</Company>
  <LinksUpToDate>false</LinksUpToDate>
  <CharactersWithSpaces>13118</CharactersWithSpaces>
  <SharedDoc>false</SharedDoc>
  <HLinks>
    <vt:vector size="6" baseType="variant">
      <vt:variant>
        <vt:i4>983114</vt:i4>
      </vt:variant>
      <vt:variant>
        <vt:i4>0</vt:i4>
      </vt:variant>
      <vt:variant>
        <vt:i4>0</vt:i4>
      </vt:variant>
      <vt:variant>
        <vt:i4>5</vt:i4>
      </vt:variant>
      <vt:variant>
        <vt:lpwstr>http://www.ifac.org/content/international-standard-related-services-isrs-4400-engagements-perform-agreed-upon-procedures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ТЕХНІЧНЕ ЗАВДАННЯ ПРИ ПРОВЕДЕННІ ФІНАНСОВОЇ РЕВІЗІЇ</dc:title>
  <dc:subject/>
  <dc:creator>HWinst</dc:creator>
  <cp:keywords/>
  <cp:lastModifiedBy>Тетяна Кухаренко</cp:lastModifiedBy>
  <cp:revision>3</cp:revision>
  <cp:lastPrinted>2020-01-22T07:09:00Z</cp:lastPrinted>
  <dcterms:created xsi:type="dcterms:W3CDTF">2022-11-04T10:20:00Z</dcterms:created>
  <dcterms:modified xsi:type="dcterms:W3CDTF">2022-11-04T10:55:00Z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477766791</vt:i4>
  </property>
  <property fmtid="{D5CDD505-2E9C-101B-9397-08002B2CF9AE}" pid="3" name="_EmailSubject">
    <vt:lpwstr>Ukrainian version of ToRs for the audit</vt:lpwstr>
  </property>
  <property fmtid="{D5CDD505-2E9C-101B-9397-08002B2CF9AE}" pid="4" name="_AuthorEmail">
    <vt:lpwstr>andriy.kavakin@sdc.net</vt:lpwstr>
  </property>
  <property fmtid="{D5CDD505-2E9C-101B-9397-08002B2CF9AE}" pid="5" name="_AuthorEmailDisplayName">
    <vt:lpwstr>Kavakin Andriy</vt:lpwstr>
  </property>
  <property fmtid="{D5CDD505-2E9C-101B-9397-08002B2CF9AE}" pid="6" name="_ReviewingToolsShownOnce">
    <vt:lpwstr/>
  </property>
</Properties>
</file>