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6E5" w:rsidRPr="00BC65DE" w:rsidRDefault="00CA56E5" w:rsidP="005D76D2">
      <w:pPr>
        <w:spacing w:after="360"/>
        <w:jc w:val="right"/>
        <w:rPr>
          <w:rFonts w:cs="Times New Roman"/>
          <w:vanish/>
          <w:color w:val="000000" w:themeColor="text1"/>
          <w:sz w:val="22"/>
          <w:szCs w:val="22"/>
          <w:lang w:val="sv-SE"/>
        </w:rPr>
      </w:pPr>
    </w:p>
    <w:p w:rsidR="005D76D2" w:rsidRPr="00996A94" w:rsidRDefault="00CA56E5" w:rsidP="005D76D2">
      <w:pPr>
        <w:rPr>
          <w:rFonts w:cs="Times New Roman"/>
          <w:b/>
          <w:color w:val="000000" w:themeColor="text1"/>
          <w:sz w:val="22"/>
          <w:szCs w:val="22"/>
          <w:lang w:val="uk-UA"/>
        </w:rPr>
      </w:pPr>
      <w:r w:rsidRPr="00BC65DE">
        <w:rPr>
          <w:rFonts w:cs="Times New Roman"/>
          <w:b/>
          <w:color w:val="000000" w:themeColor="text1"/>
          <w:sz w:val="22"/>
          <w:szCs w:val="22"/>
        </w:rPr>
        <w:t xml:space="preserve">Annex </w:t>
      </w:r>
      <w:r w:rsidR="005D0FF0">
        <w:rPr>
          <w:rFonts w:cs="Times New Roman"/>
          <w:b/>
          <w:color w:val="000000" w:themeColor="text1"/>
          <w:sz w:val="22"/>
          <w:szCs w:val="22"/>
          <w:lang w:val="uk-UA"/>
        </w:rPr>
        <w:t>3</w:t>
      </w:r>
    </w:p>
    <w:p w:rsidR="005D76D2" w:rsidRPr="00BC65DE" w:rsidRDefault="005D76D2" w:rsidP="005D76D2">
      <w:pPr>
        <w:pStyle w:val="2"/>
        <w:rPr>
          <w:rFonts w:ascii="Times New Roman" w:hAnsi="Times New Roman" w:cs="Times New Roman"/>
          <w:color w:val="000000" w:themeColor="text1"/>
          <w:sz w:val="22"/>
          <w:szCs w:val="22"/>
        </w:rPr>
      </w:pPr>
      <w:r w:rsidRPr="00BC65DE">
        <w:rPr>
          <w:rFonts w:ascii="Times New Roman" w:hAnsi="Times New Roman" w:cs="Times New Roman"/>
          <w:color w:val="000000" w:themeColor="text1"/>
          <w:sz w:val="22"/>
          <w:szCs w:val="22"/>
        </w:rPr>
        <w:t xml:space="preserve">Introduction </w:t>
      </w:r>
    </w:p>
    <w:p w:rsidR="00CA56E5" w:rsidRPr="00BC65DE" w:rsidRDefault="00CA56E5" w:rsidP="00CA56E5">
      <w:pPr>
        <w:jc w:val="both"/>
        <w:rPr>
          <w:rFonts w:cs="Times New Roman"/>
          <w:color w:val="000000" w:themeColor="text1"/>
          <w:sz w:val="22"/>
          <w:szCs w:val="22"/>
          <w:lang w:val="en-US" w:eastAsia="uk-UA"/>
        </w:rPr>
      </w:pPr>
      <w:r w:rsidRPr="00BC65DE">
        <w:rPr>
          <w:rFonts w:cs="Times New Roman"/>
          <w:b/>
          <w:color w:val="000000" w:themeColor="text1"/>
          <w:sz w:val="22"/>
          <w:szCs w:val="22"/>
          <w:lang w:val="en-US" w:eastAsia="uk-UA"/>
        </w:rPr>
        <w:t>Think Tank Development Initiative in Ukraine</w:t>
      </w:r>
      <w:r w:rsidRPr="00BC65DE">
        <w:rPr>
          <w:rFonts w:cs="Times New Roman"/>
          <w:color w:val="000000" w:themeColor="text1"/>
          <w:sz w:val="22"/>
          <w:szCs w:val="22"/>
          <w:lang w:val="en-US" w:eastAsia="uk-UA"/>
        </w:rPr>
        <w:t xml:space="preserve"> (TTDI) has</w:t>
      </w:r>
      <w:r w:rsidR="00FD7087" w:rsidRPr="00BC65DE">
        <w:rPr>
          <w:rFonts w:cs="Times New Roman"/>
          <w:color w:val="000000" w:themeColor="text1"/>
          <w:sz w:val="22"/>
          <w:szCs w:val="22"/>
          <w:lang w:val="en-US" w:eastAsia="uk-UA"/>
        </w:rPr>
        <w:t xml:space="preserve"> been</w:t>
      </w:r>
      <w:r w:rsidRPr="00BC65DE">
        <w:rPr>
          <w:rFonts w:cs="Times New Roman"/>
          <w:color w:val="000000" w:themeColor="text1"/>
          <w:sz w:val="22"/>
          <w:szCs w:val="22"/>
          <w:lang w:val="en-US" w:eastAsia="uk-UA"/>
        </w:rPr>
        <w:t xml:space="preserve"> implemented by the International Renaissance Foundation (IRF) in cooperation with the Open Society Foundation for Europe (OSIFE) and financial support of </w:t>
      </w:r>
      <w:r w:rsidR="006B37CD" w:rsidRPr="00BC65DE">
        <w:rPr>
          <w:rFonts w:cs="Times New Roman"/>
          <w:color w:val="000000" w:themeColor="text1"/>
          <w:sz w:val="22"/>
          <w:szCs w:val="22"/>
          <w:lang w:val="en-US" w:eastAsia="uk-UA"/>
        </w:rPr>
        <w:t xml:space="preserve">the Swedish International Development Cooperation Agency (SIDA). SIDA is represented in Ukraine by the </w:t>
      </w:r>
      <w:r w:rsidRPr="00BC65DE">
        <w:rPr>
          <w:rFonts w:cs="Times New Roman"/>
          <w:color w:val="000000" w:themeColor="text1"/>
          <w:sz w:val="22"/>
          <w:szCs w:val="22"/>
          <w:lang w:val="en-US" w:eastAsia="uk-UA"/>
        </w:rPr>
        <w:t>Swedish Embassy to Ukraine</w:t>
      </w:r>
      <w:r w:rsidR="006B37CD" w:rsidRPr="00BC65DE">
        <w:rPr>
          <w:rFonts w:cs="Times New Roman"/>
          <w:color w:val="000000" w:themeColor="text1"/>
          <w:sz w:val="22"/>
          <w:szCs w:val="22"/>
          <w:lang w:val="en-US" w:eastAsia="uk-UA"/>
        </w:rPr>
        <w:t xml:space="preserve"> (hereinafter – the Embassy)</w:t>
      </w:r>
      <w:r w:rsidRPr="00BC65DE">
        <w:rPr>
          <w:rFonts w:cs="Times New Roman"/>
          <w:color w:val="000000" w:themeColor="text1"/>
          <w:sz w:val="22"/>
          <w:szCs w:val="22"/>
          <w:lang w:val="en-US" w:eastAsia="uk-UA"/>
        </w:rPr>
        <w:t xml:space="preserve">. </w:t>
      </w:r>
    </w:p>
    <w:p w:rsidR="005D76D2" w:rsidRPr="00BC65DE" w:rsidRDefault="005D76D2" w:rsidP="007D340A">
      <w:pPr>
        <w:rPr>
          <w:rFonts w:cs="Times New Roman"/>
          <w:color w:val="000000" w:themeColor="text1"/>
          <w:sz w:val="22"/>
          <w:szCs w:val="22"/>
          <w:lang w:val="en-US"/>
        </w:rPr>
      </w:pPr>
    </w:p>
    <w:p w:rsidR="00CA56E5" w:rsidRPr="00BC65DE" w:rsidRDefault="00CA56E5" w:rsidP="00CA56E5">
      <w:pPr>
        <w:tabs>
          <w:tab w:val="left" w:pos="1440"/>
        </w:tabs>
        <w:jc w:val="both"/>
        <w:rPr>
          <w:rStyle w:val="longtext"/>
          <w:rFonts w:cs="Times New Roman"/>
          <w:color w:val="000000" w:themeColor="text1"/>
          <w:sz w:val="22"/>
          <w:szCs w:val="22"/>
          <w:lang w:val="en-US"/>
        </w:rPr>
      </w:pPr>
      <w:r w:rsidRPr="00BC65DE">
        <w:rPr>
          <w:rStyle w:val="longtext"/>
          <w:rFonts w:cs="Times New Roman"/>
          <w:color w:val="000000" w:themeColor="text1"/>
          <w:sz w:val="22"/>
          <w:szCs w:val="22"/>
          <w:lang w:val="en-US"/>
        </w:rPr>
        <w:t xml:space="preserve">TTDI seeks to contribute to Ukraine’s transformation into a successful, inclusive and accountable European democracy by creating conditions for independent public policy institutions to grow organizationally, strengthening the voice of independent think tanks in the policy process, making their output relevant for key stakeholder groups in the Ukrainian society, and enabling them to make a stronger impact on policy-making. </w:t>
      </w:r>
    </w:p>
    <w:p w:rsidR="00CA56E5" w:rsidRPr="00BC65DE" w:rsidRDefault="00CA56E5">
      <w:pPr>
        <w:spacing w:line="240" w:lineRule="auto"/>
        <w:rPr>
          <w:rFonts w:cs="Times New Roman"/>
          <w:color w:val="000000" w:themeColor="text1"/>
          <w:sz w:val="22"/>
          <w:szCs w:val="22"/>
          <w:lang w:val="en-US"/>
        </w:rPr>
      </w:pPr>
    </w:p>
    <w:p w:rsidR="00CA56E5" w:rsidRPr="00BC65DE" w:rsidRDefault="00CA56E5" w:rsidP="00CA56E5">
      <w:pPr>
        <w:tabs>
          <w:tab w:val="left" w:pos="1440"/>
        </w:tabs>
        <w:jc w:val="both"/>
        <w:rPr>
          <w:rStyle w:val="longtext"/>
          <w:rFonts w:cs="Times New Roman"/>
          <w:color w:val="000000" w:themeColor="text1"/>
          <w:sz w:val="22"/>
          <w:szCs w:val="22"/>
          <w:lang w:val="en-US"/>
        </w:rPr>
      </w:pPr>
      <w:r w:rsidRPr="00BC65DE">
        <w:rPr>
          <w:rStyle w:val="longtext"/>
          <w:rFonts w:cs="Times New Roman"/>
          <w:color w:val="000000" w:themeColor="text1"/>
          <w:sz w:val="22"/>
          <w:szCs w:val="22"/>
          <w:lang w:val="en-US"/>
        </w:rPr>
        <w:t xml:space="preserve">The </w:t>
      </w:r>
      <w:r w:rsidRPr="00BC65DE">
        <w:rPr>
          <w:rStyle w:val="longtext"/>
          <w:rFonts w:cs="Times New Roman"/>
          <w:b/>
          <w:bCs/>
          <w:color w:val="000000" w:themeColor="text1"/>
          <w:sz w:val="22"/>
          <w:szCs w:val="22"/>
          <w:lang w:val="en-US"/>
        </w:rPr>
        <w:t>immediate objectives (purpose)</w:t>
      </w:r>
      <w:r w:rsidRPr="00BC65DE">
        <w:rPr>
          <w:rStyle w:val="longtext"/>
          <w:rFonts w:cs="Times New Roman"/>
          <w:color w:val="000000" w:themeColor="text1"/>
          <w:sz w:val="22"/>
          <w:szCs w:val="22"/>
          <w:lang w:val="en-US"/>
        </w:rPr>
        <w:t xml:space="preserve"> of this Initiative are: </w:t>
      </w:r>
    </w:p>
    <w:p w:rsidR="00CA56E5" w:rsidRPr="00BC65DE" w:rsidRDefault="00CA56E5" w:rsidP="00CA56E5">
      <w:pPr>
        <w:pStyle w:val="af4"/>
        <w:numPr>
          <w:ilvl w:val="0"/>
          <w:numId w:val="26"/>
        </w:numPr>
        <w:tabs>
          <w:tab w:val="left" w:pos="1440"/>
        </w:tabs>
        <w:spacing w:after="200" w:line="276" w:lineRule="auto"/>
        <w:jc w:val="both"/>
        <w:rPr>
          <w:rStyle w:val="longtext"/>
          <w:rFonts w:cs="Times New Roman"/>
          <w:color w:val="000000" w:themeColor="text1"/>
          <w:sz w:val="22"/>
          <w:szCs w:val="22"/>
          <w:lang w:val="en-US"/>
        </w:rPr>
      </w:pPr>
      <w:r w:rsidRPr="00BC65DE">
        <w:rPr>
          <w:rStyle w:val="longtext"/>
          <w:rFonts w:cs="Times New Roman"/>
          <w:color w:val="000000" w:themeColor="text1"/>
          <w:sz w:val="22"/>
          <w:szCs w:val="22"/>
          <w:lang w:val="en-US"/>
        </w:rPr>
        <w:t>Enhanced role, visibility and credibility of Ukrainian think tanks in the policy process;</w:t>
      </w:r>
    </w:p>
    <w:p w:rsidR="00CA56E5" w:rsidRPr="00BC65DE" w:rsidRDefault="00CA56E5" w:rsidP="00CA56E5">
      <w:pPr>
        <w:pStyle w:val="af4"/>
        <w:numPr>
          <w:ilvl w:val="0"/>
          <w:numId w:val="26"/>
        </w:numPr>
        <w:tabs>
          <w:tab w:val="left" w:pos="1440"/>
        </w:tabs>
        <w:spacing w:after="200" w:line="276" w:lineRule="auto"/>
        <w:jc w:val="both"/>
        <w:rPr>
          <w:rStyle w:val="longtext"/>
          <w:rFonts w:cs="Times New Roman"/>
          <w:color w:val="000000" w:themeColor="text1"/>
          <w:sz w:val="22"/>
          <w:szCs w:val="22"/>
          <w:lang w:val="en-US"/>
        </w:rPr>
      </w:pPr>
      <w:r w:rsidRPr="00BC65DE">
        <w:rPr>
          <w:rStyle w:val="longtext"/>
          <w:rFonts w:cs="Times New Roman"/>
          <w:color w:val="000000" w:themeColor="text1"/>
          <w:sz w:val="22"/>
          <w:szCs w:val="22"/>
          <w:lang w:val="en-US"/>
        </w:rPr>
        <w:t>Institutionally stronger think tanks that produce quality research and policy advice, which is in demand and can influence policy development;</w:t>
      </w:r>
    </w:p>
    <w:p w:rsidR="00CA56E5" w:rsidRPr="00BC65DE" w:rsidRDefault="00CA56E5" w:rsidP="00CA56E5">
      <w:pPr>
        <w:pStyle w:val="af4"/>
        <w:numPr>
          <w:ilvl w:val="0"/>
          <w:numId w:val="26"/>
        </w:numPr>
        <w:tabs>
          <w:tab w:val="left" w:pos="1440"/>
        </w:tabs>
        <w:spacing w:after="200" w:line="276" w:lineRule="auto"/>
        <w:jc w:val="both"/>
        <w:rPr>
          <w:rStyle w:val="longtext"/>
          <w:rFonts w:cs="Times New Roman"/>
          <w:color w:val="000000" w:themeColor="text1"/>
          <w:sz w:val="22"/>
          <w:szCs w:val="22"/>
          <w:lang w:val="en-US"/>
        </w:rPr>
      </w:pPr>
      <w:r w:rsidRPr="00BC65DE">
        <w:rPr>
          <w:rStyle w:val="longtext"/>
          <w:rFonts w:cs="Times New Roman"/>
          <w:color w:val="000000" w:themeColor="text1"/>
          <w:sz w:val="22"/>
          <w:szCs w:val="22"/>
          <w:lang w:val="en-US"/>
        </w:rPr>
        <w:t>Enhanced level of the cooperation</w:t>
      </w:r>
      <w:r w:rsidRPr="00BC65DE">
        <w:rPr>
          <w:rStyle w:val="longtext"/>
          <w:rFonts w:cs="Times New Roman"/>
          <w:color w:val="000000" w:themeColor="text1"/>
          <w:sz w:val="22"/>
          <w:szCs w:val="22"/>
        </w:rPr>
        <w:t xml:space="preserve"> </w:t>
      </w:r>
      <w:r w:rsidRPr="00BC65DE">
        <w:rPr>
          <w:rStyle w:val="longtext"/>
          <w:rFonts w:cs="Times New Roman"/>
          <w:color w:val="000000" w:themeColor="text1"/>
          <w:sz w:val="22"/>
          <w:szCs w:val="22"/>
          <w:lang w:val="en-US"/>
        </w:rPr>
        <w:t>between</w:t>
      </w:r>
      <w:r w:rsidRPr="00BC65DE">
        <w:rPr>
          <w:rStyle w:val="longtext"/>
          <w:rFonts w:cs="Times New Roman"/>
          <w:color w:val="000000" w:themeColor="text1"/>
          <w:sz w:val="22"/>
          <w:szCs w:val="22"/>
        </w:rPr>
        <w:t xml:space="preserve"> </w:t>
      </w:r>
      <w:r w:rsidRPr="00BC65DE">
        <w:rPr>
          <w:rStyle w:val="longtext"/>
          <w:rFonts w:cs="Times New Roman"/>
          <w:color w:val="000000" w:themeColor="text1"/>
          <w:sz w:val="22"/>
          <w:szCs w:val="22"/>
          <w:lang w:val="en-US"/>
        </w:rPr>
        <w:t>public</w:t>
      </w:r>
      <w:r w:rsidRPr="00BC65DE">
        <w:rPr>
          <w:rStyle w:val="longtext"/>
          <w:rFonts w:cs="Times New Roman"/>
          <w:color w:val="000000" w:themeColor="text1"/>
          <w:sz w:val="22"/>
          <w:szCs w:val="22"/>
        </w:rPr>
        <w:t xml:space="preserve"> </w:t>
      </w:r>
      <w:r w:rsidRPr="00BC65DE">
        <w:rPr>
          <w:rStyle w:val="longtext"/>
          <w:rFonts w:cs="Times New Roman"/>
          <w:color w:val="000000" w:themeColor="text1"/>
          <w:sz w:val="22"/>
          <w:szCs w:val="22"/>
          <w:lang w:val="en-US"/>
        </w:rPr>
        <w:t>authorities</w:t>
      </w:r>
      <w:r w:rsidRPr="00BC65DE">
        <w:rPr>
          <w:rStyle w:val="longtext"/>
          <w:rFonts w:cs="Times New Roman"/>
          <w:color w:val="000000" w:themeColor="text1"/>
          <w:sz w:val="22"/>
          <w:szCs w:val="22"/>
        </w:rPr>
        <w:t xml:space="preserve"> </w:t>
      </w:r>
      <w:r w:rsidRPr="00BC65DE">
        <w:rPr>
          <w:rStyle w:val="longtext"/>
          <w:rFonts w:cs="Times New Roman"/>
          <w:color w:val="000000" w:themeColor="text1"/>
          <w:sz w:val="22"/>
          <w:szCs w:val="22"/>
          <w:lang w:val="en-US"/>
        </w:rPr>
        <w:t>and</w:t>
      </w:r>
      <w:r w:rsidRPr="00BC65DE">
        <w:rPr>
          <w:rStyle w:val="longtext"/>
          <w:rFonts w:cs="Times New Roman"/>
          <w:color w:val="000000" w:themeColor="text1"/>
          <w:sz w:val="22"/>
          <w:szCs w:val="22"/>
        </w:rPr>
        <w:t xml:space="preserve"> </w:t>
      </w:r>
      <w:r w:rsidRPr="00BC65DE">
        <w:rPr>
          <w:rStyle w:val="longtext"/>
          <w:rFonts w:cs="Times New Roman"/>
          <w:color w:val="000000" w:themeColor="text1"/>
          <w:sz w:val="22"/>
          <w:szCs w:val="22"/>
          <w:lang w:val="en-US"/>
        </w:rPr>
        <w:t>think tanks at the national and regional levels;</w:t>
      </w:r>
    </w:p>
    <w:p w:rsidR="00CA56E5" w:rsidRPr="00BC65DE" w:rsidRDefault="00CA56E5" w:rsidP="00CA56E5">
      <w:pPr>
        <w:pStyle w:val="af4"/>
        <w:numPr>
          <w:ilvl w:val="0"/>
          <w:numId w:val="26"/>
        </w:numPr>
        <w:tabs>
          <w:tab w:val="left" w:pos="1440"/>
        </w:tabs>
        <w:spacing w:after="200" w:line="276" w:lineRule="auto"/>
        <w:jc w:val="both"/>
        <w:rPr>
          <w:rStyle w:val="longtext"/>
          <w:rFonts w:cs="Times New Roman"/>
          <w:color w:val="000000" w:themeColor="text1"/>
          <w:sz w:val="22"/>
          <w:szCs w:val="22"/>
          <w:lang w:val="en-US"/>
        </w:rPr>
      </w:pPr>
      <w:r w:rsidRPr="00BC65DE">
        <w:rPr>
          <w:rStyle w:val="longtext"/>
          <w:rFonts w:cs="Times New Roman"/>
          <w:color w:val="000000" w:themeColor="text1"/>
          <w:sz w:val="22"/>
          <w:szCs w:val="22"/>
          <w:lang w:val="en-US"/>
        </w:rPr>
        <w:t>Strengthening the institutional and expert development of IRF as a capacity building hub for Ukrainian think tanks.</w:t>
      </w:r>
    </w:p>
    <w:p w:rsidR="00CA56E5" w:rsidRPr="00BC65DE" w:rsidRDefault="00CA56E5" w:rsidP="00CA56E5">
      <w:pPr>
        <w:spacing w:line="240" w:lineRule="auto"/>
        <w:rPr>
          <w:rFonts w:cs="Times New Roman"/>
          <w:b/>
          <w:color w:val="000000" w:themeColor="text1"/>
          <w:sz w:val="22"/>
          <w:szCs w:val="22"/>
          <w:lang w:val="en-US"/>
        </w:rPr>
      </w:pPr>
      <w:r w:rsidRPr="00BC65DE">
        <w:rPr>
          <w:rFonts w:cs="Times New Roman"/>
          <w:b/>
          <w:color w:val="000000" w:themeColor="text1"/>
          <w:sz w:val="22"/>
          <w:szCs w:val="22"/>
          <w:lang w:val="en-US"/>
        </w:rPr>
        <w:t xml:space="preserve">Project timeline: October 2017 – </w:t>
      </w:r>
      <w:r w:rsidR="000B1607" w:rsidRPr="000B1607">
        <w:rPr>
          <w:rFonts w:cs="Times New Roman"/>
          <w:b/>
          <w:color w:val="000000" w:themeColor="text1"/>
          <w:sz w:val="22"/>
          <w:szCs w:val="22"/>
          <w:lang w:val="en-US"/>
        </w:rPr>
        <w:t>April</w:t>
      </w:r>
      <w:r w:rsidRPr="00BC65DE">
        <w:rPr>
          <w:rFonts w:cs="Times New Roman"/>
          <w:b/>
          <w:color w:val="000000" w:themeColor="text1"/>
          <w:sz w:val="22"/>
          <w:szCs w:val="22"/>
          <w:lang w:val="en-US"/>
        </w:rPr>
        <w:t xml:space="preserve"> 202</w:t>
      </w:r>
      <w:r w:rsidR="000B1607">
        <w:rPr>
          <w:rFonts w:cs="Times New Roman"/>
          <w:b/>
          <w:color w:val="000000" w:themeColor="text1"/>
          <w:sz w:val="22"/>
          <w:szCs w:val="22"/>
          <w:lang w:val="en-US"/>
        </w:rPr>
        <w:t>2</w:t>
      </w:r>
    </w:p>
    <w:p w:rsidR="00CA56E5" w:rsidRPr="00BC65DE" w:rsidRDefault="00CA56E5" w:rsidP="00FD7087">
      <w:pPr>
        <w:spacing w:line="240" w:lineRule="auto"/>
        <w:rPr>
          <w:rFonts w:cs="Times New Roman"/>
          <w:b/>
          <w:color w:val="000000" w:themeColor="text1"/>
          <w:sz w:val="22"/>
          <w:szCs w:val="22"/>
          <w:lang w:val="en-US"/>
        </w:rPr>
      </w:pPr>
      <w:r w:rsidRPr="00BC65DE">
        <w:rPr>
          <w:rFonts w:cs="Times New Roman"/>
          <w:b/>
          <w:color w:val="000000" w:themeColor="text1"/>
          <w:sz w:val="22"/>
          <w:szCs w:val="22"/>
          <w:lang w:val="en-US"/>
        </w:rPr>
        <w:t xml:space="preserve">Project budget: </w:t>
      </w:r>
      <w:r w:rsidR="000B1607">
        <w:t>6 098 162</w:t>
      </w:r>
      <w:r w:rsidRPr="00BC65DE">
        <w:rPr>
          <w:rFonts w:cs="Times New Roman"/>
          <w:color w:val="000000" w:themeColor="text1"/>
          <w:sz w:val="22"/>
          <w:szCs w:val="22"/>
          <w:lang w:val="en-US"/>
        </w:rPr>
        <w:t>USD (</w:t>
      </w:r>
      <w:r w:rsidR="000B1607">
        <w:rPr>
          <w:rFonts w:cs="Times New Roman"/>
          <w:color w:val="000000" w:themeColor="text1"/>
          <w:sz w:val="22"/>
          <w:szCs w:val="22"/>
          <w:lang w:val="en-US"/>
        </w:rPr>
        <w:t>5 454 275</w:t>
      </w:r>
      <w:r w:rsidRPr="00BC65DE">
        <w:rPr>
          <w:rFonts w:cs="Times New Roman"/>
          <w:color w:val="000000" w:themeColor="text1"/>
          <w:sz w:val="22"/>
          <w:szCs w:val="22"/>
          <w:lang w:val="en-US"/>
        </w:rPr>
        <w:t xml:space="preserve"> USD – Embassy of Sweden funding and </w:t>
      </w:r>
      <w:r w:rsidR="000B1607">
        <w:rPr>
          <w:rFonts w:cs="Times New Roman"/>
          <w:color w:val="000000" w:themeColor="text1"/>
          <w:sz w:val="22"/>
          <w:szCs w:val="22"/>
          <w:lang w:val="en-US"/>
        </w:rPr>
        <w:t>643</w:t>
      </w:r>
      <w:r w:rsidRPr="00BC65DE">
        <w:rPr>
          <w:rFonts w:cs="Times New Roman"/>
          <w:color w:val="000000" w:themeColor="text1"/>
          <w:sz w:val="22"/>
          <w:szCs w:val="22"/>
          <w:lang w:val="en-US"/>
        </w:rPr>
        <w:t> </w:t>
      </w:r>
      <w:r w:rsidR="000B1607">
        <w:rPr>
          <w:rFonts w:cs="Times New Roman"/>
          <w:color w:val="000000" w:themeColor="text1"/>
          <w:sz w:val="22"/>
          <w:szCs w:val="22"/>
          <w:lang w:val="en-US"/>
        </w:rPr>
        <w:t>887</w:t>
      </w:r>
      <w:r w:rsidRPr="00BC65DE">
        <w:rPr>
          <w:rFonts w:cs="Times New Roman"/>
          <w:color w:val="000000" w:themeColor="text1"/>
          <w:sz w:val="22"/>
          <w:szCs w:val="22"/>
          <w:lang w:val="en-US"/>
        </w:rPr>
        <w:t xml:space="preserve"> USD - IRF funding). Project budget for </w:t>
      </w:r>
      <w:r w:rsidR="00BC65DE" w:rsidRPr="00BC65DE">
        <w:rPr>
          <w:rFonts w:cs="Times New Roman"/>
          <w:color w:val="000000" w:themeColor="text1"/>
          <w:sz w:val="22"/>
          <w:szCs w:val="22"/>
          <w:lang w:val="en-US"/>
        </w:rPr>
        <w:t>20</w:t>
      </w:r>
      <w:r w:rsidR="005D0FF0">
        <w:rPr>
          <w:rFonts w:cs="Times New Roman"/>
          <w:color w:val="000000" w:themeColor="text1"/>
          <w:sz w:val="22"/>
          <w:szCs w:val="22"/>
          <w:lang w:val="uk-UA"/>
        </w:rPr>
        <w:t>20</w:t>
      </w:r>
      <w:r w:rsidRPr="00BC65DE">
        <w:rPr>
          <w:rFonts w:cs="Times New Roman"/>
          <w:color w:val="000000" w:themeColor="text1"/>
          <w:sz w:val="22"/>
          <w:szCs w:val="22"/>
          <w:lang w:val="en-US"/>
        </w:rPr>
        <w:t>:</w:t>
      </w:r>
      <w:r w:rsidR="00FD7087" w:rsidRPr="00BC65DE">
        <w:rPr>
          <w:rFonts w:cs="Times New Roman"/>
          <w:color w:val="000000" w:themeColor="text1"/>
          <w:sz w:val="22"/>
          <w:szCs w:val="22"/>
          <w:lang w:val="en-US"/>
        </w:rPr>
        <w:t xml:space="preserve"> </w:t>
      </w:r>
      <w:r w:rsidR="00A333DE" w:rsidRPr="00A333DE">
        <w:rPr>
          <w:rFonts w:cs="Times New Roman"/>
          <w:color w:val="000000" w:themeColor="text1"/>
          <w:sz w:val="22"/>
          <w:szCs w:val="22"/>
          <w:lang w:val="en-US"/>
        </w:rPr>
        <w:t>1</w:t>
      </w:r>
      <w:r w:rsidR="00A333DE">
        <w:rPr>
          <w:rFonts w:cs="Times New Roman"/>
          <w:color w:val="000000" w:themeColor="text1"/>
          <w:sz w:val="22"/>
          <w:szCs w:val="22"/>
          <w:lang w:val="uk-UA"/>
        </w:rPr>
        <w:t> </w:t>
      </w:r>
      <w:r w:rsidR="00A333DE" w:rsidRPr="00A333DE">
        <w:rPr>
          <w:rFonts w:cs="Times New Roman"/>
          <w:color w:val="000000" w:themeColor="text1"/>
          <w:sz w:val="22"/>
          <w:szCs w:val="22"/>
          <w:lang w:val="en-US"/>
        </w:rPr>
        <w:t>333</w:t>
      </w:r>
      <w:r w:rsidR="00A333DE">
        <w:rPr>
          <w:rFonts w:cs="Times New Roman"/>
          <w:color w:val="000000" w:themeColor="text1"/>
          <w:sz w:val="22"/>
          <w:szCs w:val="22"/>
          <w:lang w:val="uk-UA"/>
        </w:rPr>
        <w:t xml:space="preserve"> </w:t>
      </w:r>
      <w:r w:rsidR="00A333DE" w:rsidRPr="00A333DE">
        <w:rPr>
          <w:rFonts w:cs="Times New Roman"/>
          <w:color w:val="000000" w:themeColor="text1"/>
          <w:sz w:val="22"/>
          <w:szCs w:val="22"/>
          <w:lang w:val="en-US"/>
        </w:rPr>
        <w:t>278</w:t>
      </w:r>
      <w:r w:rsidR="00A333DE" w:rsidRPr="00A333DE" w:rsidDel="002A7775">
        <w:rPr>
          <w:rFonts w:cs="Times New Roman"/>
          <w:color w:val="000000" w:themeColor="text1"/>
          <w:sz w:val="22"/>
          <w:szCs w:val="22"/>
          <w:lang w:val="en-US"/>
        </w:rPr>
        <w:t xml:space="preserve"> </w:t>
      </w:r>
      <w:r w:rsidRPr="00BC65DE">
        <w:rPr>
          <w:rFonts w:cs="Times New Roman"/>
          <w:color w:val="000000" w:themeColor="text1"/>
          <w:sz w:val="22"/>
          <w:szCs w:val="22"/>
          <w:lang w:val="en-US"/>
        </w:rPr>
        <w:t>USD (</w:t>
      </w:r>
      <w:r w:rsidR="002A7775" w:rsidRPr="002A7775">
        <w:rPr>
          <w:rFonts w:cs="Times New Roman"/>
          <w:color w:val="000000" w:themeColor="text1"/>
          <w:sz w:val="22"/>
          <w:szCs w:val="22"/>
          <w:lang w:val="en-US"/>
        </w:rPr>
        <w:t>1</w:t>
      </w:r>
      <w:r w:rsidR="002A7775">
        <w:rPr>
          <w:rFonts w:cs="Times New Roman"/>
          <w:color w:val="000000" w:themeColor="text1"/>
          <w:sz w:val="22"/>
          <w:szCs w:val="22"/>
          <w:lang w:val="uk-UA"/>
        </w:rPr>
        <w:t> </w:t>
      </w:r>
      <w:r w:rsidR="002A7775" w:rsidRPr="002A7775">
        <w:rPr>
          <w:rFonts w:cs="Times New Roman"/>
          <w:color w:val="000000" w:themeColor="text1"/>
          <w:sz w:val="22"/>
          <w:szCs w:val="22"/>
          <w:lang w:val="en-US"/>
        </w:rPr>
        <w:t>197</w:t>
      </w:r>
      <w:r w:rsidR="002A7775">
        <w:rPr>
          <w:rFonts w:cs="Times New Roman"/>
          <w:color w:val="000000" w:themeColor="text1"/>
          <w:sz w:val="22"/>
          <w:szCs w:val="22"/>
          <w:lang w:val="uk-UA"/>
        </w:rPr>
        <w:t xml:space="preserve"> </w:t>
      </w:r>
      <w:r w:rsidR="002A7775" w:rsidRPr="002A7775">
        <w:rPr>
          <w:rFonts w:cs="Times New Roman"/>
          <w:color w:val="000000" w:themeColor="text1"/>
          <w:sz w:val="22"/>
          <w:szCs w:val="22"/>
          <w:lang w:val="en-US"/>
        </w:rPr>
        <w:t>620</w:t>
      </w:r>
      <w:r w:rsidR="002A7775" w:rsidRPr="002A7775" w:rsidDel="002A7775">
        <w:rPr>
          <w:rFonts w:cs="Times New Roman"/>
          <w:color w:val="000000" w:themeColor="text1"/>
          <w:sz w:val="22"/>
          <w:szCs w:val="22"/>
          <w:lang w:val="en-US"/>
        </w:rPr>
        <w:t xml:space="preserve"> </w:t>
      </w:r>
      <w:r w:rsidR="00825541">
        <w:rPr>
          <w:rFonts w:cs="Times New Roman"/>
          <w:color w:val="000000" w:themeColor="text1"/>
          <w:sz w:val="22"/>
          <w:szCs w:val="22"/>
          <w:lang w:val="en-US"/>
        </w:rPr>
        <w:t xml:space="preserve">USD – Embassy of Sweden funding and </w:t>
      </w:r>
      <w:r w:rsidR="002A7775" w:rsidRPr="002A7775">
        <w:rPr>
          <w:rFonts w:cs="Times New Roman"/>
          <w:color w:val="000000" w:themeColor="text1"/>
          <w:sz w:val="22"/>
          <w:szCs w:val="22"/>
          <w:lang w:val="uk-UA"/>
        </w:rPr>
        <w:t>135</w:t>
      </w:r>
      <w:r w:rsidR="002A7775">
        <w:rPr>
          <w:rFonts w:cs="Times New Roman"/>
          <w:color w:val="000000" w:themeColor="text1"/>
          <w:sz w:val="22"/>
          <w:szCs w:val="22"/>
          <w:lang w:val="uk-UA"/>
        </w:rPr>
        <w:t xml:space="preserve"> </w:t>
      </w:r>
      <w:r w:rsidR="002A7775" w:rsidRPr="002A7775">
        <w:rPr>
          <w:rFonts w:cs="Times New Roman"/>
          <w:color w:val="000000" w:themeColor="text1"/>
          <w:sz w:val="22"/>
          <w:szCs w:val="22"/>
          <w:lang w:val="uk-UA"/>
        </w:rPr>
        <w:t>658</w:t>
      </w:r>
      <w:r w:rsidR="002A7775" w:rsidRPr="002A7775" w:rsidDel="002A7775">
        <w:rPr>
          <w:rFonts w:cs="Times New Roman"/>
          <w:color w:val="000000" w:themeColor="text1"/>
          <w:sz w:val="22"/>
          <w:szCs w:val="22"/>
          <w:lang w:val="uk-UA"/>
        </w:rPr>
        <w:t xml:space="preserve"> </w:t>
      </w:r>
      <w:r w:rsidR="00825541">
        <w:rPr>
          <w:rFonts w:cs="Times New Roman"/>
          <w:color w:val="000000" w:themeColor="text1"/>
          <w:sz w:val="22"/>
          <w:szCs w:val="22"/>
          <w:lang w:val="en-US"/>
        </w:rPr>
        <w:t>USD IRF funding)</w:t>
      </w:r>
    </w:p>
    <w:p w:rsidR="00CA56E5" w:rsidRPr="00BC65DE" w:rsidRDefault="00CA56E5" w:rsidP="007D340A">
      <w:pPr>
        <w:rPr>
          <w:rFonts w:cs="Times New Roman"/>
          <w:color w:val="000000" w:themeColor="text1"/>
          <w:sz w:val="22"/>
          <w:szCs w:val="22"/>
        </w:rPr>
      </w:pPr>
    </w:p>
    <w:p w:rsidR="005D76D2" w:rsidRPr="00BC65DE" w:rsidRDefault="00825541" w:rsidP="005D76D2">
      <w:pPr>
        <w:jc w:val="both"/>
        <w:rPr>
          <w:rFonts w:cs="Times New Roman"/>
          <w:color w:val="000000" w:themeColor="text1"/>
          <w:sz w:val="22"/>
          <w:szCs w:val="22"/>
        </w:rPr>
      </w:pPr>
      <w:r>
        <w:rPr>
          <w:rFonts w:cs="Times New Roman"/>
          <w:color w:val="000000" w:themeColor="text1"/>
          <w:sz w:val="22"/>
          <w:szCs w:val="22"/>
        </w:rPr>
        <w:t>IRF wishes to engage the services of an audit firm for the purpose of auditing the TTDI, as stipulated in the agreement between IRF and the Embassy. The audit shall be carried out in accordance with international audit standards issued by IAASB</w:t>
      </w:r>
      <w:r>
        <w:rPr>
          <w:rStyle w:val="af3"/>
          <w:rFonts w:cs="Times New Roman"/>
          <w:color w:val="000000" w:themeColor="text1"/>
          <w:sz w:val="22"/>
          <w:szCs w:val="22"/>
        </w:rPr>
        <w:footnoteReference w:id="1"/>
      </w:r>
      <w:r w:rsidRPr="00825541">
        <w:rPr>
          <w:rFonts w:cs="Times New Roman"/>
          <w:color w:val="000000" w:themeColor="text1"/>
          <w:sz w:val="22"/>
          <w:szCs w:val="22"/>
        </w:rPr>
        <w:t>. The audit shall be carried out by an external, independent and qualified auditor.</w:t>
      </w:r>
    </w:p>
    <w:p w:rsidR="005D76D2" w:rsidRPr="00BC65DE" w:rsidRDefault="00825541" w:rsidP="005D76D2">
      <w:pPr>
        <w:pStyle w:val="2"/>
        <w:rPr>
          <w:rFonts w:ascii="Times New Roman" w:hAnsi="Times New Roman" w:cs="Times New Roman"/>
          <w:color w:val="000000" w:themeColor="text1"/>
          <w:sz w:val="22"/>
          <w:szCs w:val="22"/>
        </w:rPr>
      </w:pPr>
      <w:r w:rsidRPr="00825541">
        <w:rPr>
          <w:rFonts w:ascii="Times New Roman" w:hAnsi="Times New Roman" w:cs="Times New Roman"/>
          <w:color w:val="000000" w:themeColor="text1"/>
          <w:sz w:val="22"/>
          <w:szCs w:val="22"/>
        </w:rPr>
        <w:t>I.</w:t>
      </w:r>
      <w:r w:rsidRPr="00825541">
        <w:rPr>
          <w:rFonts w:ascii="Times New Roman" w:hAnsi="Times New Roman" w:cs="Times New Roman"/>
          <w:color w:val="000000" w:themeColor="text1"/>
          <w:sz w:val="22"/>
          <w:szCs w:val="22"/>
        </w:rPr>
        <w:tab/>
        <w:t>Objectives and scope of the audit</w:t>
      </w:r>
    </w:p>
    <w:p w:rsidR="00865E47" w:rsidRPr="00BC65DE" w:rsidRDefault="00825541" w:rsidP="00865E47">
      <w:pPr>
        <w:pStyle w:val="30"/>
        <w:ind w:left="0"/>
        <w:jc w:val="both"/>
        <w:rPr>
          <w:rFonts w:cs="Times New Roman"/>
          <w:color w:val="000000" w:themeColor="text1"/>
          <w:sz w:val="22"/>
          <w:szCs w:val="22"/>
        </w:rPr>
      </w:pPr>
      <w:r w:rsidRPr="00825541">
        <w:rPr>
          <w:rFonts w:cs="Times New Roman"/>
          <w:color w:val="000000" w:themeColor="text1"/>
          <w:sz w:val="22"/>
          <w:szCs w:val="22"/>
        </w:rPr>
        <w:t>The objective is to audit the financial report for the period January,</w:t>
      </w:r>
      <w:r w:rsidR="000B1607">
        <w:rPr>
          <w:rFonts w:cs="Times New Roman"/>
          <w:color w:val="000000" w:themeColor="text1"/>
          <w:sz w:val="22"/>
          <w:szCs w:val="22"/>
        </w:rPr>
        <w:t xml:space="preserve"> </w:t>
      </w:r>
      <w:r w:rsidRPr="00825541">
        <w:rPr>
          <w:rFonts w:cs="Times New Roman"/>
          <w:color w:val="000000" w:themeColor="text1"/>
          <w:sz w:val="22"/>
          <w:szCs w:val="22"/>
        </w:rPr>
        <w:t>01 20</w:t>
      </w:r>
      <w:r w:rsidR="00996A94">
        <w:rPr>
          <w:rFonts w:cs="Times New Roman"/>
          <w:color w:val="000000" w:themeColor="text1"/>
          <w:sz w:val="22"/>
          <w:szCs w:val="22"/>
          <w:lang w:val="uk-UA"/>
        </w:rPr>
        <w:t>20</w:t>
      </w:r>
      <w:r w:rsidRPr="00825541">
        <w:rPr>
          <w:rFonts w:cs="Times New Roman"/>
          <w:color w:val="000000" w:themeColor="text1"/>
          <w:sz w:val="22"/>
          <w:szCs w:val="22"/>
        </w:rPr>
        <w:t xml:space="preserve"> - December, 31, 20</w:t>
      </w:r>
      <w:r w:rsidR="00996A94">
        <w:rPr>
          <w:rFonts w:cs="Times New Roman"/>
          <w:color w:val="000000" w:themeColor="text1"/>
          <w:sz w:val="22"/>
          <w:szCs w:val="22"/>
          <w:lang w:val="uk-UA"/>
        </w:rPr>
        <w:t>20</w:t>
      </w:r>
      <w:r w:rsidRPr="00825541">
        <w:rPr>
          <w:rFonts w:cs="Times New Roman"/>
          <w:color w:val="000000" w:themeColor="text1"/>
          <w:sz w:val="22"/>
          <w:szCs w:val="22"/>
        </w:rPr>
        <w:t xml:space="preserve"> as submitted to the Embassy and to express an audit opinion according to ISA 800/805 on whether the financial report of TTDI is in accordance with </w:t>
      </w:r>
      <w:r w:rsidRPr="00825541">
        <w:rPr>
          <w:rFonts w:cs="Times New Roman"/>
          <w:color w:val="000000" w:themeColor="text1"/>
          <w:sz w:val="22"/>
          <w:szCs w:val="22"/>
          <w:u w:val="single"/>
        </w:rPr>
        <w:t>Sida´s instruction for financial reporting</w:t>
      </w:r>
      <w:r w:rsidRPr="00825541">
        <w:rPr>
          <w:rFonts w:cs="Times New Roman"/>
          <w:color w:val="000000" w:themeColor="text1"/>
          <w:sz w:val="22"/>
          <w:szCs w:val="22"/>
        </w:rPr>
        <w:t xml:space="preserve"> as stipulated in the agreement </w:t>
      </w:r>
      <w:bookmarkStart w:id="0" w:name="_GoBack"/>
      <w:r w:rsidRPr="00825541">
        <w:rPr>
          <w:rFonts w:cs="Times New Roman"/>
          <w:color w:val="000000" w:themeColor="text1"/>
          <w:sz w:val="22"/>
          <w:szCs w:val="22"/>
          <w:u w:val="single"/>
        </w:rPr>
        <w:t>including appendi</w:t>
      </w:r>
      <w:r w:rsidRPr="00825541">
        <w:rPr>
          <w:rFonts w:cs="Times New Roman"/>
          <w:color w:val="000000" w:themeColor="text1"/>
          <w:sz w:val="22"/>
          <w:szCs w:val="22"/>
          <w:u w:val="single"/>
          <w:lang w:val="en-US"/>
        </w:rPr>
        <w:t>ces</w:t>
      </w:r>
      <w:bookmarkEnd w:id="0"/>
      <w:r w:rsidRPr="00825541">
        <w:rPr>
          <w:rFonts w:cs="Times New Roman"/>
          <w:color w:val="000000" w:themeColor="text1"/>
          <w:sz w:val="22"/>
          <w:szCs w:val="22"/>
        </w:rPr>
        <w:t xml:space="preserve"> between the Embassy and IRF.</w:t>
      </w:r>
    </w:p>
    <w:p w:rsidR="005D76D2" w:rsidRPr="00BC65DE" w:rsidRDefault="00825541" w:rsidP="005D76D2">
      <w:pPr>
        <w:pStyle w:val="2"/>
        <w:rPr>
          <w:rFonts w:ascii="Times New Roman" w:hAnsi="Times New Roman" w:cs="Times New Roman"/>
          <w:color w:val="000000" w:themeColor="text1"/>
          <w:sz w:val="22"/>
          <w:szCs w:val="22"/>
        </w:rPr>
      </w:pPr>
      <w:r w:rsidRPr="00825541">
        <w:rPr>
          <w:rFonts w:ascii="Times New Roman" w:hAnsi="Times New Roman" w:cs="Times New Roman"/>
          <w:color w:val="000000" w:themeColor="text1"/>
          <w:sz w:val="22"/>
          <w:szCs w:val="22"/>
        </w:rPr>
        <w:lastRenderedPageBreak/>
        <w:t xml:space="preserve">II. </w:t>
      </w:r>
      <w:r w:rsidRPr="00825541">
        <w:rPr>
          <w:rFonts w:ascii="Times New Roman" w:hAnsi="Times New Roman" w:cs="Times New Roman"/>
          <w:color w:val="000000" w:themeColor="text1"/>
          <w:sz w:val="22"/>
          <w:szCs w:val="22"/>
        </w:rPr>
        <w:tab/>
        <w:t>Additional assignment; according to agreed upon procedures ISRS 4400, review the following areas in accordance with the Terms of reference below</w:t>
      </w:r>
    </w:p>
    <w:p w:rsidR="005D76D2" w:rsidRPr="00BC65DE" w:rsidRDefault="00825541" w:rsidP="00692CC1">
      <w:pPr>
        <w:pStyle w:val="30"/>
        <w:numPr>
          <w:ilvl w:val="0"/>
          <w:numId w:val="24"/>
        </w:numPr>
        <w:tabs>
          <w:tab w:val="clear" w:pos="567"/>
        </w:tabs>
        <w:jc w:val="both"/>
        <w:rPr>
          <w:rFonts w:cs="Times New Roman"/>
          <w:b/>
          <w:i/>
          <w:color w:val="000000" w:themeColor="text1"/>
          <w:sz w:val="22"/>
          <w:szCs w:val="22"/>
        </w:rPr>
      </w:pPr>
      <w:r w:rsidRPr="00825541">
        <w:rPr>
          <w:rFonts w:cs="Times New Roman"/>
          <w:color w:val="000000" w:themeColor="text1"/>
          <w:sz w:val="22"/>
          <w:szCs w:val="22"/>
        </w:rPr>
        <w:t>Follow up whether salary costs debited to the project/programme are recorded throughout the duration of the year in a systemized way and examine whether the salary costs can be verified by sufficient supporting documentation.</w:t>
      </w:r>
      <w:r>
        <w:rPr>
          <w:rStyle w:val="af3"/>
          <w:rFonts w:cs="Times New Roman"/>
          <w:color w:val="000000" w:themeColor="text1"/>
          <w:sz w:val="22"/>
          <w:szCs w:val="22"/>
        </w:rPr>
        <w:footnoteReference w:id="2"/>
      </w:r>
    </w:p>
    <w:p w:rsidR="005D76D2" w:rsidRPr="00BC65DE" w:rsidRDefault="00825541" w:rsidP="00692CC1">
      <w:pPr>
        <w:pStyle w:val="30"/>
        <w:numPr>
          <w:ilvl w:val="0"/>
          <w:numId w:val="24"/>
        </w:numPr>
        <w:tabs>
          <w:tab w:val="clear" w:pos="567"/>
        </w:tabs>
        <w:jc w:val="both"/>
        <w:rPr>
          <w:rFonts w:cs="Times New Roman"/>
          <w:color w:val="000000" w:themeColor="text1"/>
          <w:sz w:val="22"/>
          <w:szCs w:val="22"/>
        </w:rPr>
      </w:pPr>
      <w:r w:rsidRPr="00825541">
        <w:rPr>
          <w:rFonts w:cs="Times New Roman"/>
          <w:color w:val="000000" w:themeColor="text1"/>
          <w:sz w:val="22"/>
          <w:szCs w:val="22"/>
        </w:rPr>
        <w:t>Examine whether the financial report includes a comparison, for every budget item, between the actual costs/expenditures of activities and the budgeted costs/expenditures as approved by the Embassy for the period.</w:t>
      </w:r>
    </w:p>
    <w:p w:rsidR="005D76D2" w:rsidRPr="00BC65DE" w:rsidRDefault="00825541" w:rsidP="00692CC1">
      <w:pPr>
        <w:pStyle w:val="30"/>
        <w:numPr>
          <w:ilvl w:val="0"/>
          <w:numId w:val="24"/>
        </w:numPr>
        <w:tabs>
          <w:tab w:val="clear" w:pos="567"/>
        </w:tabs>
        <w:jc w:val="both"/>
        <w:rPr>
          <w:rFonts w:cs="Times New Roman"/>
          <w:color w:val="000000" w:themeColor="text1"/>
          <w:sz w:val="22"/>
          <w:szCs w:val="22"/>
        </w:rPr>
      </w:pPr>
      <w:r w:rsidRPr="00825541">
        <w:rPr>
          <w:rFonts w:cs="Times New Roman"/>
          <w:color w:val="000000" w:themeColor="text1"/>
          <w:sz w:val="22"/>
          <w:szCs w:val="22"/>
        </w:rPr>
        <w:t>Based on materiality and risk the auditor shall examine whether there is supporting documentation related to incurred costs</w:t>
      </w:r>
    </w:p>
    <w:p w:rsidR="005D76D2" w:rsidRPr="00BC65DE" w:rsidRDefault="00825541" w:rsidP="00692CC1">
      <w:pPr>
        <w:pStyle w:val="30"/>
        <w:numPr>
          <w:ilvl w:val="0"/>
          <w:numId w:val="24"/>
        </w:numPr>
        <w:tabs>
          <w:tab w:val="clear" w:pos="567"/>
        </w:tabs>
        <w:jc w:val="both"/>
        <w:rPr>
          <w:rFonts w:cs="Times New Roman"/>
          <w:color w:val="000000" w:themeColor="text1"/>
          <w:sz w:val="22"/>
          <w:szCs w:val="22"/>
        </w:rPr>
      </w:pPr>
      <w:r w:rsidRPr="00825541">
        <w:rPr>
          <w:rFonts w:cs="Times New Roman"/>
          <w:color w:val="000000" w:themeColor="text1"/>
          <w:sz w:val="22"/>
          <w:szCs w:val="22"/>
        </w:rPr>
        <w:t>Follow up whether IRF has implemented the following recommendations from the assessment of internal control. The examination includes reviewing whether IRF has implemented the action points as described in IRF’s management response that has been submitted to the Embassy.</w:t>
      </w:r>
    </w:p>
    <w:p w:rsidR="005D76D2" w:rsidRPr="00BC65DE" w:rsidRDefault="00825541" w:rsidP="00692CC1">
      <w:pPr>
        <w:pStyle w:val="30"/>
        <w:numPr>
          <w:ilvl w:val="0"/>
          <w:numId w:val="24"/>
        </w:numPr>
        <w:tabs>
          <w:tab w:val="clear" w:pos="567"/>
        </w:tabs>
        <w:jc w:val="both"/>
        <w:rPr>
          <w:rFonts w:cs="Times New Roman"/>
          <w:color w:val="000000" w:themeColor="text1"/>
          <w:sz w:val="22"/>
          <w:szCs w:val="22"/>
        </w:rPr>
      </w:pPr>
      <w:r w:rsidRPr="00825541">
        <w:rPr>
          <w:rFonts w:cs="Times New Roman"/>
          <w:color w:val="000000" w:themeColor="text1"/>
          <w:sz w:val="22"/>
          <w:szCs w:val="22"/>
        </w:rPr>
        <w:t>Examine whether foreign exchange gains and losses are disclosed in accordance with what is stipulated in the agreement including appendixes.</w:t>
      </w:r>
    </w:p>
    <w:p w:rsidR="005D76D2" w:rsidRPr="00BC65DE" w:rsidRDefault="00825541" w:rsidP="00692CC1">
      <w:pPr>
        <w:pStyle w:val="Punkter"/>
        <w:numPr>
          <w:ilvl w:val="0"/>
          <w:numId w:val="24"/>
        </w:numPr>
        <w:rPr>
          <w:rFonts w:cs="Times New Roman"/>
          <w:color w:val="000000" w:themeColor="text1"/>
          <w:sz w:val="22"/>
          <w:szCs w:val="22"/>
        </w:rPr>
      </w:pPr>
      <w:r w:rsidRPr="00825541">
        <w:rPr>
          <w:rFonts w:cs="Times New Roman"/>
          <w:color w:val="000000" w:themeColor="text1"/>
          <w:sz w:val="22"/>
          <w:szCs w:val="22"/>
        </w:rPr>
        <w:t>IRF compliance with the applicable tax legislation in regard to taxes (e.g.PAYE)</w:t>
      </w:r>
      <w:r>
        <w:rPr>
          <w:rStyle w:val="af3"/>
          <w:rFonts w:cs="Times New Roman"/>
          <w:color w:val="000000" w:themeColor="text1"/>
          <w:sz w:val="22"/>
          <w:szCs w:val="22"/>
        </w:rPr>
        <w:footnoteReference w:id="3"/>
      </w:r>
      <w:r w:rsidRPr="00825541">
        <w:rPr>
          <w:rFonts w:cs="Times New Roman"/>
          <w:color w:val="000000" w:themeColor="text1"/>
          <w:sz w:val="22"/>
          <w:szCs w:val="22"/>
        </w:rPr>
        <w:t xml:space="preserve"> and social security fees.</w:t>
      </w:r>
    </w:p>
    <w:p w:rsidR="005D76D2" w:rsidRPr="00BC65DE" w:rsidRDefault="00825541" w:rsidP="00692CC1">
      <w:pPr>
        <w:pStyle w:val="Punkter"/>
        <w:numPr>
          <w:ilvl w:val="0"/>
          <w:numId w:val="24"/>
        </w:numPr>
        <w:rPr>
          <w:rFonts w:cs="Times New Roman"/>
          <w:color w:val="000000" w:themeColor="text1"/>
          <w:sz w:val="22"/>
          <w:szCs w:val="22"/>
        </w:rPr>
      </w:pPr>
      <w:r w:rsidRPr="00825541">
        <w:rPr>
          <w:rFonts w:cs="Times New Roman"/>
          <w:color w:val="000000" w:themeColor="text1"/>
          <w:sz w:val="22"/>
          <w:szCs w:val="22"/>
        </w:rPr>
        <w:t>Follow up whether IRF has adhered to the procurement guidelines annexed to the agreement.</w:t>
      </w:r>
    </w:p>
    <w:p w:rsidR="005D76D2" w:rsidRPr="00BC65DE" w:rsidRDefault="00825541" w:rsidP="00692CC1">
      <w:pPr>
        <w:pStyle w:val="Punkter"/>
        <w:numPr>
          <w:ilvl w:val="0"/>
          <w:numId w:val="24"/>
        </w:numPr>
        <w:rPr>
          <w:rFonts w:cs="Times New Roman"/>
          <w:color w:val="000000" w:themeColor="text1"/>
          <w:sz w:val="22"/>
          <w:szCs w:val="22"/>
        </w:rPr>
      </w:pPr>
      <w:r w:rsidRPr="00825541">
        <w:rPr>
          <w:rFonts w:cs="Times New Roman"/>
          <w:color w:val="000000" w:themeColor="text1"/>
          <w:sz w:val="22"/>
          <w:szCs w:val="22"/>
        </w:rPr>
        <w:t>Review if outgoing balance for previous period is the same as incoming balance for the current period (irrelevant for the period 01.01.20</w:t>
      </w:r>
      <w:r w:rsidR="00996A94">
        <w:rPr>
          <w:rFonts w:cs="Times New Roman"/>
          <w:color w:val="000000" w:themeColor="text1"/>
          <w:sz w:val="22"/>
          <w:szCs w:val="22"/>
          <w:lang w:val="uk-UA"/>
        </w:rPr>
        <w:t>20</w:t>
      </w:r>
      <w:r w:rsidRPr="00825541">
        <w:rPr>
          <w:rFonts w:cs="Times New Roman"/>
          <w:color w:val="000000" w:themeColor="text1"/>
          <w:sz w:val="22"/>
          <w:szCs w:val="22"/>
        </w:rPr>
        <w:t xml:space="preserve"> – 31.12.20</w:t>
      </w:r>
      <w:r w:rsidR="00996A94">
        <w:rPr>
          <w:rFonts w:cs="Times New Roman"/>
          <w:color w:val="000000" w:themeColor="text1"/>
          <w:sz w:val="22"/>
          <w:szCs w:val="22"/>
          <w:lang w:val="uk-UA"/>
        </w:rPr>
        <w:t>20</w:t>
      </w:r>
      <w:r w:rsidRPr="00825541">
        <w:rPr>
          <w:rFonts w:cs="Times New Roman"/>
          <w:color w:val="000000" w:themeColor="text1"/>
          <w:sz w:val="22"/>
          <w:szCs w:val="22"/>
        </w:rPr>
        <w:t xml:space="preserve">). </w:t>
      </w:r>
    </w:p>
    <w:p w:rsidR="005D76D2" w:rsidRPr="00BC65DE" w:rsidRDefault="00825541" w:rsidP="002837D3">
      <w:pPr>
        <w:pStyle w:val="30"/>
        <w:numPr>
          <w:ilvl w:val="0"/>
          <w:numId w:val="25"/>
        </w:numPr>
        <w:tabs>
          <w:tab w:val="clear" w:pos="567"/>
        </w:tabs>
        <w:jc w:val="both"/>
        <w:rPr>
          <w:rFonts w:cs="Times New Roman"/>
          <w:color w:val="000000" w:themeColor="text1"/>
          <w:sz w:val="22"/>
          <w:szCs w:val="22"/>
        </w:rPr>
      </w:pPr>
      <w:r w:rsidRPr="00825541">
        <w:rPr>
          <w:rFonts w:cs="Times New Roman"/>
          <w:color w:val="000000" w:themeColor="text1"/>
          <w:sz w:val="22"/>
          <w:szCs w:val="22"/>
        </w:rPr>
        <w:t>If IRF applies modified cash basis as accounting principle, the auditor shall motivate whether the applied accounting principle is acceptable for this type of financial report.</w:t>
      </w:r>
    </w:p>
    <w:p w:rsidR="005D76D2" w:rsidRPr="00BC65DE" w:rsidRDefault="00825541" w:rsidP="00980A84">
      <w:pPr>
        <w:pStyle w:val="2"/>
        <w:ind w:left="0" w:firstLine="0"/>
        <w:rPr>
          <w:rFonts w:ascii="Times New Roman" w:hAnsi="Times New Roman" w:cs="Times New Roman"/>
          <w:color w:val="000000" w:themeColor="text1"/>
          <w:sz w:val="22"/>
          <w:szCs w:val="22"/>
        </w:rPr>
      </w:pPr>
      <w:r w:rsidRPr="00825541">
        <w:rPr>
          <w:rFonts w:ascii="Times New Roman" w:hAnsi="Times New Roman" w:cs="Times New Roman"/>
          <w:color w:val="000000" w:themeColor="text1"/>
          <w:sz w:val="22"/>
          <w:szCs w:val="22"/>
        </w:rPr>
        <w:t>Follow up of funds that are channelled to implementing partners (this shall be done for the period 01.01.20</w:t>
      </w:r>
      <w:r w:rsidR="00996A94">
        <w:rPr>
          <w:rFonts w:ascii="Times New Roman" w:hAnsi="Times New Roman" w:cs="Times New Roman"/>
          <w:color w:val="000000" w:themeColor="text1"/>
          <w:sz w:val="22"/>
          <w:szCs w:val="22"/>
          <w:lang w:val="uk-UA"/>
        </w:rPr>
        <w:t>20</w:t>
      </w:r>
      <w:r w:rsidRPr="00825541">
        <w:rPr>
          <w:rFonts w:ascii="Times New Roman" w:hAnsi="Times New Roman" w:cs="Times New Roman"/>
          <w:color w:val="000000" w:themeColor="text1"/>
          <w:sz w:val="22"/>
          <w:szCs w:val="22"/>
        </w:rPr>
        <w:t xml:space="preserve"> – 31.12.20</w:t>
      </w:r>
      <w:r w:rsidR="00996A94">
        <w:rPr>
          <w:rFonts w:ascii="Times New Roman" w:hAnsi="Times New Roman" w:cs="Times New Roman"/>
          <w:color w:val="000000" w:themeColor="text1"/>
          <w:sz w:val="22"/>
          <w:szCs w:val="22"/>
          <w:lang w:val="uk-UA"/>
        </w:rPr>
        <w:t>20</w:t>
      </w:r>
      <w:r w:rsidRPr="00825541">
        <w:rPr>
          <w:rFonts w:ascii="Times New Roman" w:hAnsi="Times New Roman" w:cs="Times New Roman"/>
          <w:color w:val="000000" w:themeColor="text1"/>
          <w:sz w:val="22"/>
          <w:szCs w:val="22"/>
        </w:rPr>
        <w:t>)</w:t>
      </w:r>
    </w:p>
    <w:p w:rsidR="00A5043E" w:rsidRPr="00BC65DE" w:rsidRDefault="00825541" w:rsidP="00310DFC">
      <w:pPr>
        <w:pStyle w:val="30"/>
        <w:numPr>
          <w:ilvl w:val="0"/>
          <w:numId w:val="19"/>
        </w:numPr>
        <w:tabs>
          <w:tab w:val="clear" w:pos="567"/>
        </w:tabs>
        <w:jc w:val="both"/>
        <w:rPr>
          <w:rFonts w:cs="Times New Roman"/>
          <w:color w:val="000000" w:themeColor="text1"/>
          <w:sz w:val="22"/>
          <w:szCs w:val="22"/>
        </w:rPr>
      </w:pPr>
      <w:r w:rsidRPr="00825541">
        <w:rPr>
          <w:rFonts w:cs="Times New Roman"/>
          <w:color w:val="000000" w:themeColor="text1"/>
          <w:sz w:val="22"/>
          <w:szCs w:val="22"/>
        </w:rPr>
        <w:t>Provide a list of the organizations that received funds from IRF during the audited period, indicating the amount and currency;</w:t>
      </w:r>
    </w:p>
    <w:p w:rsidR="005D76D2" w:rsidRPr="00BC65DE" w:rsidRDefault="00825541" w:rsidP="00310DFC">
      <w:pPr>
        <w:pStyle w:val="30"/>
        <w:numPr>
          <w:ilvl w:val="0"/>
          <w:numId w:val="19"/>
        </w:numPr>
        <w:tabs>
          <w:tab w:val="clear" w:pos="567"/>
        </w:tabs>
        <w:jc w:val="both"/>
        <w:rPr>
          <w:rFonts w:cs="Times New Roman"/>
          <w:color w:val="000000" w:themeColor="text1"/>
          <w:sz w:val="22"/>
          <w:szCs w:val="22"/>
        </w:rPr>
      </w:pPr>
      <w:r w:rsidRPr="00825541">
        <w:rPr>
          <w:rFonts w:cs="Times New Roman"/>
          <w:color w:val="000000" w:themeColor="text1"/>
          <w:sz w:val="22"/>
          <w:szCs w:val="22"/>
        </w:rPr>
        <w:t>Does IRF have signed agreements with its partner organisations?</w:t>
      </w:r>
    </w:p>
    <w:p w:rsidR="005D76D2" w:rsidRPr="00BC65DE" w:rsidRDefault="00825541" w:rsidP="00310DFC">
      <w:pPr>
        <w:pStyle w:val="30"/>
        <w:numPr>
          <w:ilvl w:val="0"/>
          <w:numId w:val="19"/>
        </w:numPr>
        <w:tabs>
          <w:tab w:val="clear" w:pos="567"/>
        </w:tabs>
        <w:jc w:val="both"/>
        <w:rPr>
          <w:rFonts w:cs="Times New Roman"/>
          <w:color w:val="000000" w:themeColor="text1"/>
          <w:sz w:val="22"/>
          <w:szCs w:val="22"/>
        </w:rPr>
      </w:pPr>
      <w:r w:rsidRPr="00825541">
        <w:rPr>
          <w:rFonts w:cs="Times New Roman"/>
          <w:color w:val="000000" w:themeColor="text1"/>
          <w:sz w:val="22"/>
          <w:szCs w:val="22"/>
        </w:rPr>
        <w:t>Are the audit requirements in agreements with partner organisations in accordance with the audit requirements as stipulated in IRF’s agreement with the Embassy?</w:t>
      </w:r>
    </w:p>
    <w:p w:rsidR="005D76D2" w:rsidRPr="00BC65DE" w:rsidRDefault="00825541" w:rsidP="00310DFC">
      <w:pPr>
        <w:pStyle w:val="30"/>
        <w:numPr>
          <w:ilvl w:val="0"/>
          <w:numId w:val="19"/>
        </w:numPr>
        <w:tabs>
          <w:tab w:val="clear" w:pos="567"/>
        </w:tabs>
        <w:jc w:val="both"/>
        <w:rPr>
          <w:rFonts w:cs="Times New Roman"/>
          <w:color w:val="000000" w:themeColor="text1"/>
          <w:sz w:val="22"/>
          <w:szCs w:val="22"/>
        </w:rPr>
      </w:pPr>
      <w:r w:rsidRPr="00825541">
        <w:rPr>
          <w:rFonts w:cs="Times New Roman"/>
          <w:color w:val="000000" w:themeColor="text1"/>
          <w:sz w:val="22"/>
          <w:szCs w:val="22"/>
        </w:rPr>
        <w:t xml:space="preserve">Review whether there is an unbroken chain of audited financial reports according to the requirements as stipulated in the agreement between IRF and the Embassy, for </w:t>
      </w:r>
      <w:r w:rsidRPr="00825541">
        <w:rPr>
          <w:rFonts w:cs="Times New Roman"/>
          <w:color w:val="000000" w:themeColor="text1"/>
          <w:sz w:val="22"/>
          <w:szCs w:val="22"/>
        </w:rPr>
        <w:lastRenderedPageBreak/>
        <w:t xml:space="preserve">funds disbursed the previous year. The review shall include whether IRF makes documented assessments of the audited financial reports submitted to IRF and whether these reports are followed-up by IRF. The review shall include verification of contributions equivalent of a minimum of 100% of the total of disbursed funds as well as </w:t>
      </w:r>
      <w:r w:rsidRPr="00825541">
        <w:rPr>
          <w:rFonts w:cs="Times New Roman"/>
          <w:color w:val="000000" w:themeColor="text1"/>
          <w:sz w:val="22"/>
          <w:szCs w:val="22"/>
          <w:lang w:val="uk-UA"/>
        </w:rPr>
        <w:t>100</w:t>
      </w:r>
      <w:r w:rsidRPr="00825541">
        <w:rPr>
          <w:rFonts w:cs="Times New Roman"/>
          <w:color w:val="000000" w:themeColor="text1"/>
          <w:sz w:val="22"/>
          <w:szCs w:val="22"/>
        </w:rPr>
        <w:t xml:space="preserve">% of the number of contributions. The review shall also include any observations from auditors that </w:t>
      </w:r>
      <w:r w:rsidRPr="00825541">
        <w:rPr>
          <w:rFonts w:cs="Times New Roman"/>
          <w:color w:val="000000" w:themeColor="text1"/>
          <w:sz w:val="22"/>
          <w:szCs w:val="22"/>
          <w:lang w:val="en-US"/>
        </w:rPr>
        <w:t>Embassy</w:t>
      </w:r>
      <w:r w:rsidRPr="00825541">
        <w:rPr>
          <w:rFonts w:cs="Times New Roman"/>
          <w:color w:val="000000" w:themeColor="text1"/>
          <w:sz w:val="22"/>
          <w:szCs w:val="22"/>
        </w:rPr>
        <w:t xml:space="preserve"> should be informed about.  </w:t>
      </w:r>
    </w:p>
    <w:p w:rsidR="005D76D2" w:rsidRPr="00BC65DE" w:rsidRDefault="00825541" w:rsidP="00310DFC">
      <w:pPr>
        <w:pStyle w:val="30"/>
        <w:numPr>
          <w:ilvl w:val="0"/>
          <w:numId w:val="19"/>
        </w:numPr>
        <w:tabs>
          <w:tab w:val="clear" w:pos="567"/>
        </w:tabs>
        <w:jc w:val="both"/>
        <w:rPr>
          <w:rFonts w:cs="Times New Roman"/>
          <w:color w:val="000000" w:themeColor="text1"/>
          <w:sz w:val="22"/>
          <w:szCs w:val="22"/>
        </w:rPr>
      </w:pPr>
      <w:r w:rsidRPr="00825541">
        <w:rPr>
          <w:rFonts w:cs="Times New Roman"/>
          <w:color w:val="000000" w:themeColor="text1"/>
          <w:sz w:val="22"/>
          <w:szCs w:val="22"/>
        </w:rPr>
        <w:t xml:space="preserve">Are the same requirements for reporting exchange rate gains/exchange rate losses as stipulated in the agreement between IRF and the Embassy, included in the agreements between IRF and its implementing partners? </w:t>
      </w:r>
    </w:p>
    <w:p w:rsidR="005D76D2" w:rsidRPr="00BC65DE" w:rsidRDefault="00825541" w:rsidP="00980A84">
      <w:pPr>
        <w:pStyle w:val="2"/>
        <w:rPr>
          <w:rFonts w:ascii="Times New Roman" w:hAnsi="Times New Roman" w:cs="Times New Roman"/>
          <w:color w:val="000000" w:themeColor="text1"/>
          <w:sz w:val="22"/>
          <w:szCs w:val="22"/>
        </w:rPr>
      </w:pPr>
      <w:r w:rsidRPr="00825541">
        <w:rPr>
          <w:rFonts w:ascii="Times New Roman" w:hAnsi="Times New Roman" w:cs="Times New Roman"/>
          <w:color w:val="000000" w:themeColor="text1"/>
          <w:sz w:val="22"/>
          <w:szCs w:val="22"/>
        </w:rPr>
        <w:t>III.</w:t>
      </w:r>
      <w:r w:rsidRPr="00825541">
        <w:rPr>
          <w:rFonts w:ascii="Times New Roman" w:hAnsi="Times New Roman" w:cs="Times New Roman"/>
          <w:color w:val="000000" w:themeColor="text1"/>
          <w:sz w:val="22"/>
          <w:szCs w:val="22"/>
        </w:rPr>
        <w:tab/>
        <w:t xml:space="preserve">The reporting </w:t>
      </w:r>
    </w:p>
    <w:p w:rsidR="005D76D2" w:rsidRPr="00BC65DE" w:rsidRDefault="00825541" w:rsidP="005D76D2">
      <w:pPr>
        <w:tabs>
          <w:tab w:val="left" w:pos="720"/>
          <w:tab w:val="left" w:pos="1728"/>
        </w:tabs>
        <w:jc w:val="both"/>
        <w:rPr>
          <w:rFonts w:cs="Times New Roman"/>
          <w:color w:val="000000" w:themeColor="text1"/>
          <w:sz w:val="22"/>
          <w:szCs w:val="22"/>
        </w:rPr>
      </w:pPr>
      <w:r w:rsidRPr="00825541">
        <w:rPr>
          <w:rFonts w:cs="Times New Roman"/>
          <w:color w:val="000000" w:themeColor="text1"/>
          <w:sz w:val="22"/>
          <w:szCs w:val="22"/>
        </w:rPr>
        <w:t xml:space="preserve">The scope of the audit shall be stated in the report and the methodology used shall be presented. </w:t>
      </w:r>
    </w:p>
    <w:p w:rsidR="005D76D2" w:rsidRPr="00BC65DE" w:rsidRDefault="005D76D2" w:rsidP="005D76D2">
      <w:pPr>
        <w:tabs>
          <w:tab w:val="left" w:pos="720"/>
          <w:tab w:val="left" w:pos="1728"/>
        </w:tabs>
        <w:jc w:val="both"/>
        <w:rPr>
          <w:rFonts w:cs="Times New Roman"/>
          <w:color w:val="000000" w:themeColor="text1"/>
          <w:sz w:val="22"/>
          <w:szCs w:val="22"/>
        </w:rPr>
      </w:pPr>
    </w:p>
    <w:p w:rsidR="005D76D2" w:rsidRPr="00BC65DE" w:rsidRDefault="00825541" w:rsidP="005D76D2">
      <w:pPr>
        <w:tabs>
          <w:tab w:val="left" w:pos="720"/>
          <w:tab w:val="left" w:pos="1728"/>
        </w:tabs>
        <w:jc w:val="both"/>
        <w:rPr>
          <w:rFonts w:cs="Times New Roman"/>
          <w:color w:val="000000" w:themeColor="text1"/>
          <w:sz w:val="22"/>
          <w:szCs w:val="22"/>
        </w:rPr>
      </w:pPr>
      <w:r w:rsidRPr="00825541">
        <w:rPr>
          <w:rFonts w:cs="Times New Roman"/>
          <w:color w:val="000000" w:themeColor="text1"/>
          <w:sz w:val="22"/>
          <w:szCs w:val="22"/>
        </w:rPr>
        <w:t>The reporting shall be signed by the responsible auditor (not just the audit firm) and title.</w:t>
      </w:r>
    </w:p>
    <w:p w:rsidR="00702FCC" w:rsidRPr="00BC65DE" w:rsidRDefault="00702FCC" w:rsidP="005D76D2">
      <w:pPr>
        <w:tabs>
          <w:tab w:val="left" w:pos="720"/>
          <w:tab w:val="left" w:pos="1728"/>
        </w:tabs>
        <w:jc w:val="both"/>
        <w:rPr>
          <w:rFonts w:cs="Times New Roman"/>
          <w:color w:val="000000" w:themeColor="text1"/>
          <w:sz w:val="22"/>
          <w:szCs w:val="22"/>
        </w:rPr>
      </w:pPr>
    </w:p>
    <w:p w:rsidR="00702FCC" w:rsidRPr="00BC65DE" w:rsidRDefault="00825541" w:rsidP="005D76D2">
      <w:pPr>
        <w:tabs>
          <w:tab w:val="left" w:pos="720"/>
          <w:tab w:val="left" w:pos="1728"/>
        </w:tabs>
        <w:jc w:val="both"/>
        <w:rPr>
          <w:rFonts w:cs="Times New Roman"/>
          <w:color w:val="000000" w:themeColor="text1"/>
          <w:sz w:val="22"/>
          <w:szCs w:val="22"/>
        </w:rPr>
      </w:pPr>
      <w:r w:rsidRPr="00825541">
        <w:rPr>
          <w:rFonts w:cs="Times New Roman"/>
          <w:color w:val="000000" w:themeColor="text1"/>
          <w:sz w:val="22"/>
          <w:szCs w:val="22"/>
        </w:rPr>
        <w:t>The audited financial report shall be attached to the audit report.</w:t>
      </w:r>
    </w:p>
    <w:p w:rsidR="005D76D2" w:rsidRPr="00BC65DE" w:rsidRDefault="005D76D2" w:rsidP="005D76D2">
      <w:pPr>
        <w:jc w:val="both"/>
        <w:rPr>
          <w:rFonts w:cs="Times New Roman"/>
          <w:color w:val="000000" w:themeColor="text1"/>
          <w:sz w:val="22"/>
          <w:szCs w:val="22"/>
        </w:rPr>
      </w:pPr>
    </w:p>
    <w:p w:rsidR="005D76D2" w:rsidRPr="00BC65DE" w:rsidRDefault="00825541" w:rsidP="005D76D2">
      <w:pPr>
        <w:jc w:val="both"/>
        <w:rPr>
          <w:rFonts w:cs="Times New Roman"/>
          <w:color w:val="000000" w:themeColor="text1"/>
          <w:sz w:val="22"/>
          <w:szCs w:val="22"/>
        </w:rPr>
      </w:pPr>
      <w:r w:rsidRPr="00825541">
        <w:rPr>
          <w:rFonts w:cs="Times New Roman"/>
          <w:color w:val="000000" w:themeColor="text1"/>
          <w:sz w:val="22"/>
          <w:szCs w:val="22"/>
        </w:rPr>
        <w:t>The reporting from the auditor shall include an independent auditor’s report in accordance with the format in standard ISA 800/805 and the auditor’s opinion shall be clearly stated, as well as a Management letter with audit findings and weaknesses identified during the audit process. The auditor shall regardless of materiality, quantify the amount for costs lacking sufficient supporting documentation. The auditor shall make recommendations to address the weaknesses identified and the recommendations shall be presented in priority order. If the auditor assesses that no findings or weaknesses have been identified during the audit that would result in a Management Letter, an explanation of this assessment must be disclosed in the audit reporting.</w:t>
      </w:r>
    </w:p>
    <w:p w:rsidR="005D76D2" w:rsidRPr="00BC65DE" w:rsidRDefault="005D76D2" w:rsidP="005D76D2">
      <w:pPr>
        <w:jc w:val="both"/>
        <w:rPr>
          <w:rFonts w:cs="Times New Roman"/>
          <w:color w:val="000000" w:themeColor="text1"/>
          <w:sz w:val="22"/>
          <w:szCs w:val="22"/>
        </w:rPr>
      </w:pPr>
    </w:p>
    <w:p w:rsidR="005D76D2" w:rsidRPr="00BC65DE" w:rsidRDefault="00825541" w:rsidP="005D76D2">
      <w:pPr>
        <w:jc w:val="both"/>
        <w:rPr>
          <w:rFonts w:cs="Times New Roman"/>
          <w:color w:val="000000" w:themeColor="text1"/>
          <w:sz w:val="22"/>
          <w:szCs w:val="22"/>
        </w:rPr>
      </w:pPr>
      <w:r w:rsidRPr="00825541">
        <w:rPr>
          <w:rFonts w:cs="Times New Roman"/>
          <w:color w:val="000000" w:themeColor="text1"/>
          <w:sz w:val="22"/>
          <w:szCs w:val="22"/>
        </w:rPr>
        <w:t xml:space="preserve">Measures taken by the organisation to address weaknesses identified in previous audits shall also be presented in the Management Letter. </w:t>
      </w:r>
    </w:p>
    <w:p w:rsidR="005D76D2" w:rsidRPr="00BC65DE" w:rsidRDefault="005D76D2" w:rsidP="005D76D2">
      <w:pPr>
        <w:jc w:val="both"/>
        <w:rPr>
          <w:rFonts w:cs="Times New Roman"/>
          <w:color w:val="000000" w:themeColor="text1"/>
          <w:sz w:val="22"/>
          <w:szCs w:val="22"/>
        </w:rPr>
      </w:pPr>
    </w:p>
    <w:p w:rsidR="005D76D2" w:rsidRPr="00BC65DE" w:rsidRDefault="00825541" w:rsidP="005D76D2">
      <w:pPr>
        <w:jc w:val="both"/>
        <w:rPr>
          <w:rFonts w:cs="Times New Roman"/>
          <w:color w:val="000000" w:themeColor="text1"/>
          <w:sz w:val="22"/>
          <w:szCs w:val="22"/>
        </w:rPr>
      </w:pPr>
      <w:r w:rsidRPr="00825541">
        <w:rPr>
          <w:rFonts w:cs="Times New Roman"/>
          <w:color w:val="000000" w:themeColor="text1"/>
          <w:sz w:val="22"/>
          <w:szCs w:val="22"/>
        </w:rPr>
        <w:t>The additional assignment according to agreed upon procedures ISRS 4400 under paragraph III, shall be reported separately in a “Report of factual findings”.</w:t>
      </w:r>
    </w:p>
    <w:p w:rsidR="005D76D2" w:rsidRPr="00BC65DE" w:rsidRDefault="005D76D2" w:rsidP="005D76D2">
      <w:pPr>
        <w:jc w:val="both"/>
        <w:rPr>
          <w:rFonts w:cs="Times New Roman"/>
          <w:color w:val="000000" w:themeColor="text1"/>
          <w:sz w:val="22"/>
          <w:szCs w:val="22"/>
        </w:rPr>
      </w:pPr>
    </w:p>
    <w:p w:rsidR="005D76D2" w:rsidRPr="00BC65DE" w:rsidRDefault="00825541" w:rsidP="005D76D2">
      <w:pPr>
        <w:jc w:val="both"/>
        <w:rPr>
          <w:rFonts w:cs="Times New Roman"/>
          <w:color w:val="000000" w:themeColor="text1"/>
          <w:sz w:val="22"/>
          <w:szCs w:val="22"/>
        </w:rPr>
      </w:pPr>
      <w:r w:rsidRPr="00825541">
        <w:rPr>
          <w:rFonts w:cs="Times New Roman"/>
          <w:color w:val="000000" w:themeColor="text1"/>
          <w:sz w:val="22"/>
          <w:szCs w:val="22"/>
        </w:rPr>
        <w:t xml:space="preserve">If the auditor conducts an additional assignment according to ISRS 4400 and assesses that the observations presented in the “Report of factual findings”, include the information that would have been included in a Management Letter, a Management Letter does not need to be developed. In such a case, the “Report of factual findings” shall include an explanation of why a Management Letter has not been developed. </w:t>
      </w:r>
    </w:p>
    <w:sectPr w:rsidR="005D76D2" w:rsidRPr="00BC65DE" w:rsidSect="000A1E03">
      <w:headerReference w:type="even" r:id="rId10"/>
      <w:headerReference w:type="default" r:id="rId11"/>
      <w:footerReference w:type="even" r:id="rId12"/>
      <w:footerReference w:type="default" r:id="rId13"/>
      <w:headerReference w:type="first" r:id="rId14"/>
      <w:footerReference w:type="first" r:id="rId15"/>
      <w:pgSz w:w="11906" w:h="16838"/>
      <w:pgMar w:top="1440" w:right="1701" w:bottom="1440" w:left="226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ABF" w:rsidRDefault="00524ABF" w:rsidP="003D39A6">
      <w:r>
        <w:separator/>
      </w:r>
    </w:p>
  </w:endnote>
  <w:endnote w:type="continuationSeparator" w:id="0">
    <w:p w:rsidR="00524ABF" w:rsidRDefault="00524ABF" w:rsidP="003D39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C3" w:rsidRDefault="00F327C3">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C3" w:rsidRDefault="00F327C3">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C3" w:rsidRDefault="00F327C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ABF" w:rsidRDefault="00524ABF" w:rsidP="003D39A6">
      <w:r>
        <w:separator/>
      </w:r>
    </w:p>
  </w:footnote>
  <w:footnote w:type="continuationSeparator" w:id="0">
    <w:p w:rsidR="00524ABF" w:rsidRDefault="00524ABF" w:rsidP="003D39A6">
      <w:r>
        <w:continuationSeparator/>
      </w:r>
    </w:p>
  </w:footnote>
  <w:footnote w:id="1">
    <w:p w:rsidR="005D76D2" w:rsidRPr="004E443C" w:rsidRDefault="005D76D2" w:rsidP="005D76D2">
      <w:pPr>
        <w:pStyle w:val="af1"/>
        <w:rPr>
          <w:lang w:val="en-US"/>
        </w:rPr>
      </w:pPr>
      <w:r>
        <w:rPr>
          <w:rStyle w:val="af3"/>
        </w:rPr>
        <w:footnoteRef/>
      </w:r>
      <w:r w:rsidRPr="004E443C">
        <w:rPr>
          <w:lang w:val="en-US"/>
        </w:rPr>
        <w:t xml:space="preserve"> The International Auditing and Assurances</w:t>
      </w:r>
      <w:r>
        <w:rPr>
          <w:lang w:val="en-US"/>
        </w:rPr>
        <w:t xml:space="preserve"> Standards</w:t>
      </w:r>
      <w:r w:rsidRPr="004E443C">
        <w:rPr>
          <w:lang w:val="en-US"/>
        </w:rPr>
        <w:t xml:space="preserve"> Board (IAASB)</w:t>
      </w:r>
    </w:p>
  </w:footnote>
  <w:footnote w:id="2">
    <w:p w:rsidR="005D76D2" w:rsidRPr="00FD6A72" w:rsidRDefault="005D76D2" w:rsidP="005D76D2">
      <w:pPr>
        <w:pStyle w:val="af1"/>
        <w:rPr>
          <w:lang w:val="en-US"/>
        </w:rPr>
      </w:pPr>
      <w:r>
        <w:rPr>
          <w:rStyle w:val="af3"/>
        </w:rPr>
        <w:footnoteRef/>
      </w:r>
      <w:r w:rsidRPr="00FD6A72">
        <w:rPr>
          <w:lang w:val="en-US"/>
        </w:rPr>
        <w:t xml:space="preserve"> </w:t>
      </w:r>
      <w:r>
        <w:rPr>
          <w:lang w:val="en-US"/>
        </w:rPr>
        <w:t xml:space="preserve">If the budget includes salary costs to be debited to the project, </w:t>
      </w:r>
      <w:r w:rsidRPr="00FD6A72">
        <w:rPr>
          <w:lang w:val="en-US"/>
        </w:rPr>
        <w:t>the a</w:t>
      </w:r>
      <w:r>
        <w:rPr>
          <w:lang w:val="en-US"/>
        </w:rPr>
        <w:t xml:space="preserve">uditor shall always examine salary costs as stipulated here. </w:t>
      </w:r>
    </w:p>
  </w:footnote>
  <w:footnote w:id="3">
    <w:p w:rsidR="005D76D2" w:rsidRPr="00FD6A72" w:rsidRDefault="005D76D2" w:rsidP="005D76D2">
      <w:pPr>
        <w:pStyle w:val="af1"/>
        <w:rPr>
          <w:lang w:val="en-US"/>
        </w:rPr>
      </w:pPr>
      <w:r>
        <w:rPr>
          <w:rStyle w:val="af3"/>
        </w:rPr>
        <w:footnoteRef/>
      </w:r>
      <w:r w:rsidRPr="00FD6A72">
        <w:rPr>
          <w:lang w:val="en-US"/>
        </w:rPr>
        <w:t xml:space="preserve"> Pay As You Earn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C3" w:rsidRDefault="00F327C3">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FF5" w:rsidRPr="005D76D2" w:rsidRDefault="00722FF5" w:rsidP="0000698D">
    <w:pPr>
      <w:pStyle w:val="ad"/>
      <w:tabs>
        <w:tab w:val="clear" w:pos="9360"/>
        <w:tab w:val="right" w:pos="7797"/>
      </w:tabs>
    </w:pPr>
    <w:r w:rsidRPr="005D76D2">
      <w:tab/>
    </w:r>
    <w:r w:rsidRPr="005D76D2">
      <w:tab/>
    </w:r>
    <w:r w:rsidRPr="005D76D2">
      <w:rPr>
        <w:snapToGrid w:val="0"/>
      </w:rPr>
      <w:t xml:space="preserve">Page </w:t>
    </w:r>
    <w:r w:rsidR="00C3447A">
      <w:rPr>
        <w:snapToGrid w:val="0"/>
      </w:rPr>
      <w:fldChar w:fldCharType="begin"/>
    </w:r>
    <w:r w:rsidRPr="005D76D2">
      <w:rPr>
        <w:snapToGrid w:val="0"/>
      </w:rPr>
      <w:instrText xml:space="preserve"> PAGE </w:instrText>
    </w:r>
    <w:r w:rsidR="00C3447A">
      <w:rPr>
        <w:snapToGrid w:val="0"/>
      </w:rPr>
      <w:fldChar w:fldCharType="separate"/>
    </w:r>
    <w:r w:rsidR="00EE1A92">
      <w:rPr>
        <w:noProof/>
        <w:snapToGrid w:val="0"/>
      </w:rPr>
      <w:t>3</w:t>
    </w:r>
    <w:r w:rsidR="00C3447A">
      <w:rPr>
        <w:snapToGrid w:val="0"/>
      </w:rPr>
      <w:fldChar w:fldCharType="end"/>
    </w:r>
    <w:r w:rsidRPr="005D76D2">
      <w:rPr>
        <w:snapToGrid w:val="0"/>
      </w:rPr>
      <w:t xml:space="preserve"> of </w:t>
    </w:r>
    <w:r w:rsidR="00C3447A">
      <w:rPr>
        <w:snapToGrid w:val="0"/>
      </w:rPr>
      <w:fldChar w:fldCharType="begin"/>
    </w:r>
    <w:r w:rsidRPr="005D76D2">
      <w:rPr>
        <w:snapToGrid w:val="0"/>
      </w:rPr>
      <w:instrText xml:space="preserve"> NUMPAGES </w:instrText>
    </w:r>
    <w:r w:rsidR="00C3447A">
      <w:rPr>
        <w:snapToGrid w:val="0"/>
      </w:rPr>
      <w:fldChar w:fldCharType="separate"/>
    </w:r>
    <w:r w:rsidR="00EE1A92">
      <w:rPr>
        <w:noProof/>
        <w:snapToGrid w:val="0"/>
      </w:rPr>
      <w:t>3</w:t>
    </w:r>
    <w:r w:rsidR="00C3447A">
      <w:rPr>
        <w:snapToGrid w:val="0"/>
      </w:rPr>
      <w:fldChar w:fldCharType="end"/>
    </w:r>
  </w:p>
  <w:p w:rsidR="00722FF5" w:rsidRPr="005D76D2" w:rsidRDefault="00722FF5">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C3" w:rsidRDefault="00F327C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94FBAC"/>
    <w:lvl w:ilvl="0">
      <w:start w:val="1"/>
      <w:numFmt w:val="decimal"/>
      <w:lvlText w:val="%1."/>
      <w:lvlJc w:val="left"/>
      <w:pPr>
        <w:tabs>
          <w:tab w:val="num" w:pos="1492"/>
        </w:tabs>
        <w:ind w:left="1492" w:hanging="360"/>
      </w:pPr>
    </w:lvl>
  </w:abstractNum>
  <w:abstractNum w:abstractNumId="1">
    <w:nsid w:val="FFFFFF7D"/>
    <w:multiLevelType w:val="singleLevel"/>
    <w:tmpl w:val="E5185C08"/>
    <w:lvl w:ilvl="0">
      <w:start w:val="1"/>
      <w:numFmt w:val="decimal"/>
      <w:lvlText w:val="%1."/>
      <w:lvlJc w:val="left"/>
      <w:pPr>
        <w:tabs>
          <w:tab w:val="num" w:pos="1209"/>
        </w:tabs>
        <w:ind w:left="1209" w:hanging="360"/>
      </w:pPr>
    </w:lvl>
  </w:abstractNum>
  <w:abstractNum w:abstractNumId="2">
    <w:nsid w:val="FFFFFF7E"/>
    <w:multiLevelType w:val="singleLevel"/>
    <w:tmpl w:val="985A1B54"/>
    <w:lvl w:ilvl="0">
      <w:start w:val="1"/>
      <w:numFmt w:val="decimal"/>
      <w:lvlText w:val="%1."/>
      <w:lvlJc w:val="left"/>
      <w:pPr>
        <w:tabs>
          <w:tab w:val="num" w:pos="926"/>
        </w:tabs>
        <w:ind w:left="926" w:hanging="360"/>
      </w:pPr>
    </w:lvl>
  </w:abstractNum>
  <w:abstractNum w:abstractNumId="3">
    <w:nsid w:val="FFFFFF7F"/>
    <w:multiLevelType w:val="singleLevel"/>
    <w:tmpl w:val="E6026AE6"/>
    <w:lvl w:ilvl="0">
      <w:start w:val="1"/>
      <w:numFmt w:val="decimal"/>
      <w:lvlText w:val="%1."/>
      <w:lvlJc w:val="left"/>
      <w:pPr>
        <w:tabs>
          <w:tab w:val="num" w:pos="643"/>
        </w:tabs>
        <w:ind w:left="643" w:hanging="360"/>
      </w:pPr>
    </w:lvl>
  </w:abstractNum>
  <w:abstractNum w:abstractNumId="4">
    <w:nsid w:val="FFFFFF80"/>
    <w:multiLevelType w:val="singleLevel"/>
    <w:tmpl w:val="3466A5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EC37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E34E2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08A40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6DA4344"/>
    <w:lvl w:ilvl="0">
      <w:start w:val="1"/>
      <w:numFmt w:val="decimal"/>
      <w:lvlText w:val="%1."/>
      <w:lvlJc w:val="left"/>
      <w:pPr>
        <w:tabs>
          <w:tab w:val="num" w:pos="360"/>
        </w:tabs>
        <w:ind w:left="360" w:hanging="360"/>
      </w:pPr>
    </w:lvl>
  </w:abstractNum>
  <w:abstractNum w:abstractNumId="9">
    <w:nsid w:val="FFFFFF89"/>
    <w:multiLevelType w:val="singleLevel"/>
    <w:tmpl w:val="EDF69D50"/>
    <w:lvl w:ilvl="0">
      <w:start w:val="1"/>
      <w:numFmt w:val="bullet"/>
      <w:pStyle w:val="a"/>
      <w:lvlText w:val=""/>
      <w:lvlJc w:val="left"/>
      <w:pPr>
        <w:tabs>
          <w:tab w:val="num" w:pos="360"/>
        </w:tabs>
        <w:ind w:left="360" w:hanging="360"/>
      </w:pPr>
      <w:rPr>
        <w:rFonts w:ascii="Symbol" w:hAnsi="Symbol" w:hint="default"/>
      </w:rPr>
    </w:lvl>
  </w:abstractNum>
  <w:abstractNum w:abstractNumId="10">
    <w:nsid w:val="0B131673"/>
    <w:multiLevelType w:val="hybridMultilevel"/>
    <w:tmpl w:val="E14E107C"/>
    <w:lvl w:ilvl="0" w:tplc="DD34D4C8">
      <w:start w:val="1"/>
      <w:numFmt w:val="bullet"/>
      <w:pStyle w:val="Punkter"/>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D764C0"/>
    <w:multiLevelType w:val="hybridMultilevel"/>
    <w:tmpl w:val="D056E7CA"/>
    <w:lvl w:ilvl="0" w:tplc="0409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nsid w:val="18813B8C"/>
    <w:multiLevelType w:val="hybridMultilevel"/>
    <w:tmpl w:val="57BAD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F83749"/>
    <w:multiLevelType w:val="hybridMultilevel"/>
    <w:tmpl w:val="4A3A272A"/>
    <w:lvl w:ilvl="0" w:tplc="0409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2807097"/>
    <w:multiLevelType w:val="hybridMultilevel"/>
    <w:tmpl w:val="589CE444"/>
    <w:lvl w:ilvl="0" w:tplc="041D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2894B5F"/>
    <w:multiLevelType w:val="multilevel"/>
    <w:tmpl w:val="57BAD7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48423E6A"/>
    <w:multiLevelType w:val="hybridMultilevel"/>
    <w:tmpl w:val="DEA869FE"/>
    <w:lvl w:ilvl="0" w:tplc="55C4CF50">
      <w:start w:val="1"/>
      <w:numFmt w:val="low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1A6141C"/>
    <w:multiLevelType w:val="hybridMultilevel"/>
    <w:tmpl w:val="2C4CC9B6"/>
    <w:lvl w:ilvl="0" w:tplc="88360758">
      <w:start w:val="1"/>
      <w:numFmt w:val="bullet"/>
      <w:lvlText w:val=""/>
      <w:lvlJc w:val="left"/>
      <w:pPr>
        <w:ind w:left="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A51304A"/>
    <w:multiLevelType w:val="multilevel"/>
    <w:tmpl w:val="57BAD7A0"/>
    <w:numStyleLink w:val="Style1"/>
  </w:abstractNum>
  <w:abstractNum w:abstractNumId="19">
    <w:nsid w:val="5CD63E3F"/>
    <w:multiLevelType w:val="multilevel"/>
    <w:tmpl w:val="57BAD7A0"/>
    <w:styleLink w:val="Styl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637E2D7E"/>
    <w:multiLevelType w:val="hybridMultilevel"/>
    <w:tmpl w:val="D4D8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1B0A85"/>
    <w:multiLevelType w:val="hybridMultilevel"/>
    <w:tmpl w:val="D4B47F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94E7F24"/>
    <w:multiLevelType w:val="hybridMultilevel"/>
    <w:tmpl w:val="D05C0C9A"/>
    <w:lvl w:ilvl="0" w:tplc="7E0E503E">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7B4A1EAC"/>
    <w:multiLevelType w:val="hybridMultilevel"/>
    <w:tmpl w:val="F31E8108"/>
    <w:lvl w:ilvl="0" w:tplc="CE06695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9"/>
  </w:num>
  <w:num w:numId="3">
    <w:abstractNumId w:val="17"/>
  </w:num>
  <w:num w:numId="4">
    <w:abstractNumId w:val="20"/>
  </w:num>
  <w:num w:numId="5">
    <w:abstractNumId w:val="10"/>
  </w:num>
  <w:num w:numId="6">
    <w:abstractNumId w:val="21"/>
  </w:num>
  <w:num w:numId="7">
    <w:abstractNumId w:val="22"/>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13"/>
  </w:num>
  <w:num w:numId="19">
    <w:abstractNumId w:val="11"/>
  </w:num>
  <w:num w:numId="20">
    <w:abstractNumId w:val="10"/>
  </w:num>
  <w:num w:numId="21">
    <w:abstractNumId w:val="14"/>
  </w:num>
  <w:num w:numId="22">
    <w:abstractNumId w:val="12"/>
  </w:num>
  <w:num w:numId="23">
    <w:abstractNumId w:val="19"/>
  </w:num>
  <w:num w:numId="24">
    <w:abstractNumId w:val="18"/>
  </w:num>
  <w:num w:numId="25">
    <w:abstractNumId w:val="15"/>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808"/>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02"/>
  </w:hdrShapeDefaults>
  <w:footnotePr>
    <w:footnote w:id="-1"/>
    <w:footnote w:id="0"/>
  </w:footnotePr>
  <w:endnotePr>
    <w:endnote w:id="-1"/>
    <w:endnote w:id="0"/>
  </w:endnotePr>
  <w:compat/>
  <w:rsids>
    <w:rsidRoot w:val="003C74D9"/>
    <w:rsid w:val="000037B9"/>
    <w:rsid w:val="00004418"/>
    <w:rsid w:val="000064C1"/>
    <w:rsid w:val="0000698D"/>
    <w:rsid w:val="00010B6B"/>
    <w:rsid w:val="000552DA"/>
    <w:rsid w:val="00060EE5"/>
    <w:rsid w:val="000631E8"/>
    <w:rsid w:val="00087337"/>
    <w:rsid w:val="00094EBD"/>
    <w:rsid w:val="000A1E03"/>
    <w:rsid w:val="000A3D29"/>
    <w:rsid w:val="000A5DA1"/>
    <w:rsid w:val="000A623F"/>
    <w:rsid w:val="000A6CE8"/>
    <w:rsid w:val="000B1607"/>
    <w:rsid w:val="000B73A4"/>
    <w:rsid w:val="000B741C"/>
    <w:rsid w:val="000D52B8"/>
    <w:rsid w:val="000E7673"/>
    <w:rsid w:val="000E7DC0"/>
    <w:rsid w:val="000F09B1"/>
    <w:rsid w:val="0010037C"/>
    <w:rsid w:val="00100725"/>
    <w:rsid w:val="00103299"/>
    <w:rsid w:val="001103F4"/>
    <w:rsid w:val="00137673"/>
    <w:rsid w:val="0014055F"/>
    <w:rsid w:val="0015379B"/>
    <w:rsid w:val="00155AF7"/>
    <w:rsid w:val="00163FDF"/>
    <w:rsid w:val="00170A7D"/>
    <w:rsid w:val="00172851"/>
    <w:rsid w:val="0017774D"/>
    <w:rsid w:val="00182AD5"/>
    <w:rsid w:val="001836D3"/>
    <w:rsid w:val="001923B8"/>
    <w:rsid w:val="001937EA"/>
    <w:rsid w:val="001A3B11"/>
    <w:rsid w:val="001B0E7A"/>
    <w:rsid w:val="001B1E56"/>
    <w:rsid w:val="00202016"/>
    <w:rsid w:val="002127BA"/>
    <w:rsid w:val="002160AB"/>
    <w:rsid w:val="002207CA"/>
    <w:rsid w:val="00232203"/>
    <w:rsid w:val="00257C86"/>
    <w:rsid w:val="002837D3"/>
    <w:rsid w:val="00287F85"/>
    <w:rsid w:val="002A7775"/>
    <w:rsid w:val="002A7975"/>
    <w:rsid w:val="002B2097"/>
    <w:rsid w:val="002C4591"/>
    <w:rsid w:val="002E1084"/>
    <w:rsid w:val="0030220B"/>
    <w:rsid w:val="0030757B"/>
    <w:rsid w:val="00310DFC"/>
    <w:rsid w:val="00314E99"/>
    <w:rsid w:val="00316BA9"/>
    <w:rsid w:val="00363B20"/>
    <w:rsid w:val="00380D3E"/>
    <w:rsid w:val="00386391"/>
    <w:rsid w:val="00390591"/>
    <w:rsid w:val="00390E40"/>
    <w:rsid w:val="00390E71"/>
    <w:rsid w:val="003930F8"/>
    <w:rsid w:val="003A493B"/>
    <w:rsid w:val="003B5F06"/>
    <w:rsid w:val="003C614C"/>
    <w:rsid w:val="003C74D9"/>
    <w:rsid w:val="003D39A6"/>
    <w:rsid w:val="003F0B9E"/>
    <w:rsid w:val="004022A4"/>
    <w:rsid w:val="00405444"/>
    <w:rsid w:val="00420918"/>
    <w:rsid w:val="004212B0"/>
    <w:rsid w:val="00430143"/>
    <w:rsid w:val="00436778"/>
    <w:rsid w:val="004425DB"/>
    <w:rsid w:val="00444C23"/>
    <w:rsid w:val="00456C70"/>
    <w:rsid w:val="00487825"/>
    <w:rsid w:val="00493DB4"/>
    <w:rsid w:val="00496BD3"/>
    <w:rsid w:val="004A4EE7"/>
    <w:rsid w:val="004A78DF"/>
    <w:rsid w:val="004B587F"/>
    <w:rsid w:val="004D124C"/>
    <w:rsid w:val="004D4078"/>
    <w:rsid w:val="004E034E"/>
    <w:rsid w:val="004E443C"/>
    <w:rsid w:val="004F3A41"/>
    <w:rsid w:val="00501707"/>
    <w:rsid w:val="00507964"/>
    <w:rsid w:val="00507AE7"/>
    <w:rsid w:val="005124EB"/>
    <w:rsid w:val="00514009"/>
    <w:rsid w:val="0052477A"/>
    <w:rsid w:val="00524ABF"/>
    <w:rsid w:val="0053363E"/>
    <w:rsid w:val="00536B85"/>
    <w:rsid w:val="00555579"/>
    <w:rsid w:val="005566A4"/>
    <w:rsid w:val="00563D01"/>
    <w:rsid w:val="005732EA"/>
    <w:rsid w:val="00574B7C"/>
    <w:rsid w:val="00576D20"/>
    <w:rsid w:val="00580E2B"/>
    <w:rsid w:val="0059126F"/>
    <w:rsid w:val="00597B76"/>
    <w:rsid w:val="005A21D1"/>
    <w:rsid w:val="005B0A2E"/>
    <w:rsid w:val="005B3477"/>
    <w:rsid w:val="005B44DB"/>
    <w:rsid w:val="005B66C6"/>
    <w:rsid w:val="005C0F70"/>
    <w:rsid w:val="005C6C8C"/>
    <w:rsid w:val="005D0FF0"/>
    <w:rsid w:val="005D76D2"/>
    <w:rsid w:val="005F1FD8"/>
    <w:rsid w:val="005F3A30"/>
    <w:rsid w:val="005F49C4"/>
    <w:rsid w:val="005F4F44"/>
    <w:rsid w:val="0060132C"/>
    <w:rsid w:val="00614895"/>
    <w:rsid w:val="00624DCC"/>
    <w:rsid w:val="006319F4"/>
    <w:rsid w:val="0064627F"/>
    <w:rsid w:val="0065386F"/>
    <w:rsid w:val="00656F80"/>
    <w:rsid w:val="00663F00"/>
    <w:rsid w:val="00664095"/>
    <w:rsid w:val="00674824"/>
    <w:rsid w:val="00683BB1"/>
    <w:rsid w:val="00692CC1"/>
    <w:rsid w:val="006973AD"/>
    <w:rsid w:val="006A3431"/>
    <w:rsid w:val="006A7679"/>
    <w:rsid w:val="006B37CD"/>
    <w:rsid w:val="006C2586"/>
    <w:rsid w:val="006F0F5F"/>
    <w:rsid w:val="00702FCC"/>
    <w:rsid w:val="00704091"/>
    <w:rsid w:val="007158F6"/>
    <w:rsid w:val="00721109"/>
    <w:rsid w:val="00722FF5"/>
    <w:rsid w:val="007239BC"/>
    <w:rsid w:val="00724C27"/>
    <w:rsid w:val="00730650"/>
    <w:rsid w:val="00731E27"/>
    <w:rsid w:val="007443B9"/>
    <w:rsid w:val="00747FC4"/>
    <w:rsid w:val="00751B5E"/>
    <w:rsid w:val="00755B72"/>
    <w:rsid w:val="007565AE"/>
    <w:rsid w:val="00761538"/>
    <w:rsid w:val="007641AB"/>
    <w:rsid w:val="00764CB5"/>
    <w:rsid w:val="00765534"/>
    <w:rsid w:val="00773A4F"/>
    <w:rsid w:val="00775EF9"/>
    <w:rsid w:val="00784DB7"/>
    <w:rsid w:val="0078726D"/>
    <w:rsid w:val="007A327A"/>
    <w:rsid w:val="007A423F"/>
    <w:rsid w:val="007B5F7E"/>
    <w:rsid w:val="007B6A42"/>
    <w:rsid w:val="007C1DCD"/>
    <w:rsid w:val="007C51CB"/>
    <w:rsid w:val="007D2C8F"/>
    <w:rsid w:val="007D340A"/>
    <w:rsid w:val="007D36A2"/>
    <w:rsid w:val="007E019F"/>
    <w:rsid w:val="007E5A6A"/>
    <w:rsid w:val="007E6BAB"/>
    <w:rsid w:val="007F043D"/>
    <w:rsid w:val="008030D7"/>
    <w:rsid w:val="00825541"/>
    <w:rsid w:val="00831D57"/>
    <w:rsid w:val="0084491F"/>
    <w:rsid w:val="00855E96"/>
    <w:rsid w:val="00865E47"/>
    <w:rsid w:val="00873226"/>
    <w:rsid w:val="00885BBF"/>
    <w:rsid w:val="008B548A"/>
    <w:rsid w:val="008B73DD"/>
    <w:rsid w:val="008C354D"/>
    <w:rsid w:val="008C667C"/>
    <w:rsid w:val="008D089F"/>
    <w:rsid w:val="008E6845"/>
    <w:rsid w:val="009003D5"/>
    <w:rsid w:val="009062D9"/>
    <w:rsid w:val="00907103"/>
    <w:rsid w:val="00911177"/>
    <w:rsid w:val="009127CB"/>
    <w:rsid w:val="00912AEA"/>
    <w:rsid w:val="0093258F"/>
    <w:rsid w:val="00943B97"/>
    <w:rsid w:val="00953AD3"/>
    <w:rsid w:val="009712A6"/>
    <w:rsid w:val="00980A84"/>
    <w:rsid w:val="00996A94"/>
    <w:rsid w:val="00997EC6"/>
    <w:rsid w:val="009A7C41"/>
    <w:rsid w:val="009C086E"/>
    <w:rsid w:val="009C6F31"/>
    <w:rsid w:val="009D6218"/>
    <w:rsid w:val="009E0A4F"/>
    <w:rsid w:val="009E3E1E"/>
    <w:rsid w:val="009E4F3B"/>
    <w:rsid w:val="009E6385"/>
    <w:rsid w:val="00A032B8"/>
    <w:rsid w:val="00A1168F"/>
    <w:rsid w:val="00A13634"/>
    <w:rsid w:val="00A150BB"/>
    <w:rsid w:val="00A17F50"/>
    <w:rsid w:val="00A333DE"/>
    <w:rsid w:val="00A37D63"/>
    <w:rsid w:val="00A41D85"/>
    <w:rsid w:val="00A5043E"/>
    <w:rsid w:val="00A52C93"/>
    <w:rsid w:val="00A73119"/>
    <w:rsid w:val="00A75BD6"/>
    <w:rsid w:val="00A91819"/>
    <w:rsid w:val="00A943D0"/>
    <w:rsid w:val="00AB2020"/>
    <w:rsid w:val="00AB5FAF"/>
    <w:rsid w:val="00AB6982"/>
    <w:rsid w:val="00AB7044"/>
    <w:rsid w:val="00AC18CB"/>
    <w:rsid w:val="00AC24A0"/>
    <w:rsid w:val="00AC6ACB"/>
    <w:rsid w:val="00AC6EE7"/>
    <w:rsid w:val="00AD274B"/>
    <w:rsid w:val="00AD360D"/>
    <w:rsid w:val="00AD385D"/>
    <w:rsid w:val="00AD52B5"/>
    <w:rsid w:val="00AE6C35"/>
    <w:rsid w:val="00AF45FE"/>
    <w:rsid w:val="00B02771"/>
    <w:rsid w:val="00B12E99"/>
    <w:rsid w:val="00B31021"/>
    <w:rsid w:val="00B31F88"/>
    <w:rsid w:val="00B33103"/>
    <w:rsid w:val="00B61CD2"/>
    <w:rsid w:val="00B705B7"/>
    <w:rsid w:val="00B76FB3"/>
    <w:rsid w:val="00B84ED3"/>
    <w:rsid w:val="00B87206"/>
    <w:rsid w:val="00BA5E47"/>
    <w:rsid w:val="00BA75B9"/>
    <w:rsid w:val="00BB4AA3"/>
    <w:rsid w:val="00BC1672"/>
    <w:rsid w:val="00BC1D57"/>
    <w:rsid w:val="00BC3607"/>
    <w:rsid w:val="00BC65DE"/>
    <w:rsid w:val="00BE3715"/>
    <w:rsid w:val="00BE4338"/>
    <w:rsid w:val="00BF3C4E"/>
    <w:rsid w:val="00BF57FC"/>
    <w:rsid w:val="00C003C1"/>
    <w:rsid w:val="00C00842"/>
    <w:rsid w:val="00C02F92"/>
    <w:rsid w:val="00C140AC"/>
    <w:rsid w:val="00C17C33"/>
    <w:rsid w:val="00C20675"/>
    <w:rsid w:val="00C23395"/>
    <w:rsid w:val="00C3447A"/>
    <w:rsid w:val="00C47177"/>
    <w:rsid w:val="00C61F41"/>
    <w:rsid w:val="00C67623"/>
    <w:rsid w:val="00C72ACC"/>
    <w:rsid w:val="00C74314"/>
    <w:rsid w:val="00C80111"/>
    <w:rsid w:val="00C85190"/>
    <w:rsid w:val="00C871C5"/>
    <w:rsid w:val="00C90BE7"/>
    <w:rsid w:val="00C94E3D"/>
    <w:rsid w:val="00CA00B3"/>
    <w:rsid w:val="00CA0977"/>
    <w:rsid w:val="00CA56E5"/>
    <w:rsid w:val="00CB70AB"/>
    <w:rsid w:val="00CD1E48"/>
    <w:rsid w:val="00CD6E6D"/>
    <w:rsid w:val="00CE65DC"/>
    <w:rsid w:val="00D149E0"/>
    <w:rsid w:val="00D3432F"/>
    <w:rsid w:val="00D43B12"/>
    <w:rsid w:val="00D50AD7"/>
    <w:rsid w:val="00D538D8"/>
    <w:rsid w:val="00D60F99"/>
    <w:rsid w:val="00D64842"/>
    <w:rsid w:val="00D67AFA"/>
    <w:rsid w:val="00D715BA"/>
    <w:rsid w:val="00D7176A"/>
    <w:rsid w:val="00D74C5C"/>
    <w:rsid w:val="00D75A03"/>
    <w:rsid w:val="00D80EC0"/>
    <w:rsid w:val="00D91F9A"/>
    <w:rsid w:val="00D93969"/>
    <w:rsid w:val="00DA7DA0"/>
    <w:rsid w:val="00DC1AE0"/>
    <w:rsid w:val="00DC3E14"/>
    <w:rsid w:val="00DD245D"/>
    <w:rsid w:val="00DF0454"/>
    <w:rsid w:val="00DF7BEB"/>
    <w:rsid w:val="00E05E5B"/>
    <w:rsid w:val="00E06AE6"/>
    <w:rsid w:val="00E11810"/>
    <w:rsid w:val="00E21F9B"/>
    <w:rsid w:val="00E3677F"/>
    <w:rsid w:val="00E44EC3"/>
    <w:rsid w:val="00E45F0C"/>
    <w:rsid w:val="00E82EA7"/>
    <w:rsid w:val="00E87C71"/>
    <w:rsid w:val="00E95C94"/>
    <w:rsid w:val="00EA3D12"/>
    <w:rsid w:val="00EC2E73"/>
    <w:rsid w:val="00EC38FD"/>
    <w:rsid w:val="00ED487B"/>
    <w:rsid w:val="00ED4F09"/>
    <w:rsid w:val="00EE1A92"/>
    <w:rsid w:val="00EE5184"/>
    <w:rsid w:val="00F03F9F"/>
    <w:rsid w:val="00F20345"/>
    <w:rsid w:val="00F327C3"/>
    <w:rsid w:val="00F346C4"/>
    <w:rsid w:val="00F46945"/>
    <w:rsid w:val="00F47B39"/>
    <w:rsid w:val="00F53E56"/>
    <w:rsid w:val="00F578EB"/>
    <w:rsid w:val="00F713D1"/>
    <w:rsid w:val="00F73074"/>
    <w:rsid w:val="00F87D45"/>
    <w:rsid w:val="00F95A71"/>
    <w:rsid w:val="00FA2E43"/>
    <w:rsid w:val="00FC58C9"/>
    <w:rsid w:val="00FD4B00"/>
    <w:rsid w:val="00FD6A72"/>
    <w:rsid w:val="00FD708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0">
    <w:name w:val="Normal"/>
    <w:qFormat/>
    <w:rsid w:val="007D340A"/>
    <w:pPr>
      <w:spacing w:line="300" w:lineRule="atLeast"/>
    </w:pPr>
    <w:rPr>
      <w:rFonts w:cs="Arial"/>
      <w:sz w:val="24"/>
      <w:szCs w:val="24"/>
      <w:lang w:eastAsia="sv-SE"/>
    </w:rPr>
  </w:style>
  <w:style w:type="paragraph" w:styleId="1">
    <w:name w:val="heading 1"/>
    <w:basedOn w:val="a0"/>
    <w:next w:val="a0"/>
    <w:link w:val="10"/>
    <w:qFormat/>
    <w:rsid w:val="00D149E0"/>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spacing w:before="360" w:after="240"/>
      <w:jc w:val="both"/>
      <w:outlineLvl w:val="0"/>
    </w:pPr>
    <w:rPr>
      <w:rFonts w:ascii="Arial" w:hAnsi="Arial"/>
      <w:b/>
      <w:kern w:val="28"/>
      <w:sz w:val="48"/>
      <w:szCs w:val="48"/>
    </w:rPr>
  </w:style>
  <w:style w:type="paragraph" w:styleId="2">
    <w:name w:val="heading 2"/>
    <w:basedOn w:val="1"/>
    <w:next w:val="a0"/>
    <w:qFormat/>
    <w:rsid w:val="00E3677F"/>
    <w:pPr>
      <w:tabs>
        <w:tab w:val="clear" w:pos="1134"/>
        <w:tab w:val="left" w:pos="567"/>
      </w:tabs>
      <w:spacing w:before="600"/>
      <w:ind w:left="567" w:hanging="567"/>
      <w:outlineLvl w:val="1"/>
    </w:pPr>
    <w:rPr>
      <w:sz w:val="32"/>
    </w:rPr>
  </w:style>
  <w:style w:type="paragraph" w:styleId="3">
    <w:name w:val="heading 3"/>
    <w:basedOn w:val="a0"/>
    <w:next w:val="a0"/>
    <w:rsid w:val="005F4F44"/>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spacing w:before="360"/>
      <w:outlineLvl w:val="2"/>
    </w:pPr>
    <w:rPr>
      <w:rFonts w:ascii="Arial" w:hAnsi="Arial"/>
      <w:b/>
      <w:sz w:val="28"/>
    </w:rPr>
  </w:style>
  <w:style w:type="paragraph" w:styleId="4">
    <w:name w:val="heading 4"/>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3"/>
    </w:pPr>
    <w:rPr>
      <w:b/>
    </w:rPr>
  </w:style>
  <w:style w:type="paragraph" w:styleId="5">
    <w:name w:val="heading 5"/>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4"/>
    </w:pPr>
    <w:rPr>
      <w:b/>
      <w:i/>
    </w:rPr>
  </w:style>
  <w:style w:type="paragraph" w:styleId="6">
    <w:name w:val="heading 6"/>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5"/>
    </w:pPr>
    <w:rPr>
      <w:caps/>
      <w:u w:val="single"/>
    </w:rPr>
  </w:style>
  <w:style w:type="paragraph" w:styleId="7">
    <w:name w:val="heading 7"/>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6"/>
    </w:pPr>
    <w:rPr>
      <w:caps/>
    </w:rPr>
  </w:style>
  <w:style w:type="paragraph" w:styleId="8">
    <w:name w:val="heading 8"/>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7"/>
    </w:pPr>
    <w:rPr>
      <w:u w:val="single"/>
    </w:rPr>
  </w:style>
  <w:style w:type="paragraph" w:styleId="9">
    <w:name w:val="heading 9"/>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8"/>
    </w:pPr>
    <w:rPr>
      <w: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3">
    <w:name w:val="No List"/>
    <w:uiPriority w:val="99"/>
    <w:semiHidden/>
    <w:unhideWhenUsed/>
  </w:style>
  <w:style w:type="paragraph" w:customStyle="1" w:styleId="ArticleparagrAlt">
    <w:name w:val="Article paragr (Alt+.)"/>
    <w:basedOn w:val="a0"/>
    <w:next w:val="a0"/>
    <w:rsid w:val="0053363E"/>
    <w:pPr>
      <w:keepNext/>
      <w:tabs>
        <w:tab w:val="left" w:pos="-1134"/>
        <w:tab w:val="left" w:pos="0"/>
        <w:tab w:val="left" w:pos="1418"/>
        <w:tab w:val="left" w:pos="2268"/>
        <w:tab w:val="left" w:pos="3402"/>
        <w:tab w:val="left" w:pos="4536"/>
        <w:tab w:val="left" w:pos="5670"/>
        <w:tab w:val="left" w:pos="6804"/>
        <w:tab w:val="left" w:pos="7938"/>
        <w:tab w:val="left" w:pos="9072"/>
        <w:tab w:val="left" w:pos="10206"/>
      </w:tabs>
      <w:ind w:left="1418" w:hanging="1418"/>
    </w:pPr>
    <w:rPr>
      <w:caps/>
    </w:rPr>
  </w:style>
  <w:style w:type="character" w:styleId="a4">
    <w:name w:val="annotation reference"/>
    <w:basedOn w:val="a1"/>
    <w:semiHidden/>
    <w:rsid w:val="0053363E"/>
    <w:rPr>
      <w:rFonts w:ascii="Arial" w:hAnsi="Arial"/>
      <w:b/>
      <w:sz w:val="24"/>
    </w:rPr>
  </w:style>
  <w:style w:type="paragraph" w:styleId="a5">
    <w:name w:val="annotation text"/>
    <w:basedOn w:val="a0"/>
    <w:link w:val="a6"/>
    <w:semiHidden/>
    <w:rsid w:val="00C72ACC"/>
    <w:pPr>
      <w:tabs>
        <w:tab w:val="left" w:pos="-1134"/>
        <w:tab w:val="left" w:pos="0"/>
        <w:tab w:val="left" w:pos="1134"/>
        <w:tab w:val="left" w:pos="2268"/>
        <w:tab w:val="left" w:pos="3402"/>
        <w:tab w:val="left" w:pos="4536"/>
        <w:tab w:val="left" w:pos="5670"/>
        <w:tab w:val="left" w:pos="6804"/>
        <w:tab w:val="left" w:pos="7938"/>
        <w:tab w:val="left" w:pos="9072"/>
        <w:tab w:val="left" w:pos="10206"/>
      </w:tabs>
    </w:pPr>
    <w:rPr>
      <w:color w:val="000000"/>
    </w:rPr>
  </w:style>
  <w:style w:type="paragraph" w:customStyle="1" w:styleId="HangingIndent">
    <w:name w:val="HangingIndent"/>
    <w:basedOn w:val="a0"/>
    <w:next w:val="a0"/>
    <w:rsid w:val="0053363E"/>
    <w:pPr>
      <w:tabs>
        <w:tab w:val="left" w:pos="-1134"/>
        <w:tab w:val="left" w:pos="0"/>
        <w:tab w:val="left" w:pos="1134"/>
        <w:tab w:val="left" w:pos="2268"/>
        <w:tab w:val="left" w:pos="3402"/>
        <w:tab w:val="left" w:pos="4536"/>
        <w:tab w:val="left" w:pos="5670"/>
        <w:tab w:val="left" w:pos="6804"/>
        <w:tab w:val="left" w:pos="7938"/>
        <w:tab w:val="left" w:pos="9072"/>
        <w:tab w:val="left" w:pos="10206"/>
      </w:tabs>
      <w:ind w:left="1134" w:hanging="1134"/>
    </w:pPr>
  </w:style>
  <w:style w:type="paragraph" w:customStyle="1" w:styleId="HangingMargin">
    <w:name w:val="HangingMargin"/>
    <w:basedOn w:val="a0"/>
    <w:next w:val="a0"/>
    <w:rsid w:val="0053363E"/>
    <w:pPr>
      <w:tabs>
        <w:tab w:val="left" w:pos="-1134"/>
        <w:tab w:val="left" w:pos="0"/>
        <w:tab w:val="left" w:pos="1134"/>
        <w:tab w:val="left" w:pos="2268"/>
        <w:tab w:val="left" w:pos="3402"/>
        <w:tab w:val="left" w:pos="4536"/>
        <w:tab w:val="left" w:pos="5670"/>
        <w:tab w:val="left" w:pos="6804"/>
        <w:tab w:val="left" w:pos="7938"/>
        <w:tab w:val="left" w:pos="9072"/>
        <w:tab w:val="left" w:pos="10206"/>
      </w:tabs>
      <w:ind w:hanging="1134"/>
    </w:pPr>
  </w:style>
  <w:style w:type="paragraph" w:styleId="a">
    <w:name w:val="List Bullet"/>
    <w:basedOn w:val="a0"/>
    <w:autoRedefine/>
    <w:rsid w:val="0053363E"/>
    <w:pPr>
      <w:numPr>
        <w:numId w:val="2"/>
      </w:numPr>
    </w:pPr>
  </w:style>
  <w:style w:type="paragraph" w:styleId="a7">
    <w:name w:val="macro"/>
    <w:semiHidden/>
    <w:rsid w:val="0053363E"/>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MarginAltm">
    <w:name w:val="Margin (Alt+m)"/>
    <w:basedOn w:val="a0"/>
    <w:rsid w:val="0053363E"/>
    <w:pPr>
      <w:tabs>
        <w:tab w:val="left" w:pos="-1134"/>
        <w:tab w:val="left" w:pos="0"/>
        <w:tab w:val="left" w:pos="1134"/>
        <w:tab w:val="left" w:pos="2268"/>
        <w:tab w:val="left" w:pos="3402"/>
        <w:tab w:val="left" w:pos="4536"/>
        <w:tab w:val="left" w:pos="5670"/>
        <w:tab w:val="left" w:pos="6804"/>
        <w:tab w:val="left" w:pos="7938"/>
        <w:tab w:val="left" w:pos="9072"/>
        <w:tab w:val="left" w:pos="10206"/>
      </w:tabs>
      <w:ind w:left="-1134" w:right="-1134"/>
    </w:pPr>
  </w:style>
  <w:style w:type="paragraph" w:customStyle="1" w:styleId="Rubrik1AltR1">
    <w:name w:val="Rubrik 1 (Alt+R1)"/>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b/>
      <w:caps/>
    </w:rPr>
  </w:style>
  <w:style w:type="paragraph" w:customStyle="1" w:styleId="Rubrik2AltR2">
    <w:name w:val="Rubrik 2 (Alt+R2)"/>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b/>
    </w:rPr>
  </w:style>
  <w:style w:type="paragraph" w:customStyle="1" w:styleId="Rubrik3AltR3">
    <w:name w:val="Rubrik 3 (Alt+R3)"/>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caps/>
    </w:rPr>
  </w:style>
  <w:style w:type="paragraph" w:customStyle="1" w:styleId="Rubrik4AltR4">
    <w:name w:val="Rubrik 4 (Alt+R4)"/>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i/>
    </w:rPr>
  </w:style>
  <w:style w:type="paragraph" w:styleId="a8">
    <w:name w:val="Signature"/>
    <w:basedOn w:val="a0"/>
    <w:rsid w:val="0053363E"/>
    <w:pPr>
      <w:tabs>
        <w:tab w:val="left" w:pos="-1134"/>
        <w:tab w:val="left" w:pos="0"/>
        <w:tab w:val="left" w:pos="1134"/>
        <w:tab w:val="left" w:pos="2268"/>
        <w:tab w:val="left" w:pos="3402"/>
        <w:tab w:val="left" w:pos="4536"/>
        <w:tab w:val="left" w:pos="5670"/>
        <w:tab w:val="left" w:pos="6804"/>
        <w:tab w:val="left" w:pos="7938"/>
        <w:tab w:val="left" w:pos="9072"/>
        <w:tab w:val="left" w:pos="10206"/>
      </w:tabs>
      <w:ind w:left="4320"/>
    </w:pPr>
  </w:style>
  <w:style w:type="paragraph" w:styleId="30">
    <w:name w:val="Body Text Indent 3"/>
    <w:basedOn w:val="a0"/>
    <w:link w:val="31"/>
    <w:rsid w:val="00624DCC"/>
    <w:pPr>
      <w:tabs>
        <w:tab w:val="left" w:pos="567"/>
      </w:tabs>
      <w:spacing w:after="120"/>
      <w:ind w:left="567"/>
    </w:pPr>
    <w:rPr>
      <w:szCs w:val="16"/>
    </w:rPr>
  </w:style>
  <w:style w:type="character" w:customStyle="1" w:styleId="10">
    <w:name w:val="Заголовок 1 Знак"/>
    <w:basedOn w:val="a1"/>
    <w:link w:val="1"/>
    <w:rsid w:val="00D149E0"/>
    <w:rPr>
      <w:rFonts w:ascii="Arial" w:hAnsi="Arial" w:cs="Arial"/>
      <w:b/>
      <w:kern w:val="28"/>
      <w:sz w:val="48"/>
      <w:szCs w:val="48"/>
      <w:lang w:eastAsia="sv-SE"/>
    </w:rPr>
  </w:style>
  <w:style w:type="paragraph" w:styleId="a9">
    <w:name w:val="annotation subject"/>
    <w:basedOn w:val="a5"/>
    <w:next w:val="a5"/>
    <w:link w:val="aa"/>
    <w:rsid w:val="009712A6"/>
    <w:pPr>
      <w:tabs>
        <w:tab w:val="clear" w:pos="-1134"/>
        <w:tab w:val="clear" w:pos="0"/>
        <w:tab w:val="clear" w:pos="1134"/>
        <w:tab w:val="clear" w:pos="2268"/>
        <w:tab w:val="clear" w:pos="3402"/>
        <w:tab w:val="clear" w:pos="4536"/>
        <w:tab w:val="clear" w:pos="5670"/>
        <w:tab w:val="clear" w:pos="6804"/>
        <w:tab w:val="clear" w:pos="7938"/>
        <w:tab w:val="clear" w:pos="9072"/>
        <w:tab w:val="clear" w:pos="10206"/>
      </w:tabs>
    </w:pPr>
    <w:rPr>
      <w:b/>
      <w:bCs/>
      <w:color w:val="auto"/>
      <w:sz w:val="20"/>
      <w:szCs w:val="20"/>
    </w:rPr>
  </w:style>
  <w:style w:type="character" w:customStyle="1" w:styleId="a6">
    <w:name w:val="Текст примітки Знак"/>
    <w:basedOn w:val="a1"/>
    <w:link w:val="a5"/>
    <w:semiHidden/>
    <w:rsid w:val="009712A6"/>
    <w:rPr>
      <w:rFonts w:ascii="Arial" w:hAnsi="Arial" w:cs="Arial"/>
      <w:color w:val="000000"/>
      <w:sz w:val="24"/>
      <w:szCs w:val="24"/>
    </w:rPr>
  </w:style>
  <w:style w:type="character" w:customStyle="1" w:styleId="aa">
    <w:name w:val="Тема примітки Знак"/>
    <w:basedOn w:val="a6"/>
    <w:link w:val="a9"/>
    <w:rsid w:val="009712A6"/>
    <w:rPr>
      <w:rFonts w:ascii="Arial" w:hAnsi="Arial" w:cs="Arial"/>
      <w:color w:val="000000"/>
      <w:sz w:val="24"/>
      <w:szCs w:val="24"/>
    </w:rPr>
  </w:style>
  <w:style w:type="paragraph" w:styleId="ab">
    <w:name w:val="Balloon Text"/>
    <w:basedOn w:val="a0"/>
    <w:link w:val="ac"/>
    <w:rsid w:val="009712A6"/>
    <w:rPr>
      <w:rFonts w:ascii="Tahoma" w:hAnsi="Tahoma" w:cs="Tahoma"/>
      <w:sz w:val="16"/>
      <w:szCs w:val="16"/>
    </w:rPr>
  </w:style>
  <w:style w:type="character" w:customStyle="1" w:styleId="ac">
    <w:name w:val="Текст у виносці Знак"/>
    <w:basedOn w:val="a1"/>
    <w:link w:val="ab"/>
    <w:rsid w:val="009712A6"/>
    <w:rPr>
      <w:rFonts w:ascii="Tahoma" w:hAnsi="Tahoma" w:cs="Tahoma"/>
      <w:sz w:val="16"/>
      <w:szCs w:val="16"/>
    </w:rPr>
  </w:style>
  <w:style w:type="paragraph" w:styleId="ad">
    <w:name w:val="header"/>
    <w:basedOn w:val="a0"/>
    <w:link w:val="ae"/>
    <w:uiPriority w:val="99"/>
    <w:rsid w:val="003D39A6"/>
    <w:pPr>
      <w:tabs>
        <w:tab w:val="center" w:pos="4680"/>
        <w:tab w:val="right" w:pos="9360"/>
      </w:tabs>
    </w:pPr>
  </w:style>
  <w:style w:type="character" w:customStyle="1" w:styleId="ae">
    <w:name w:val="Верхній колонтитул Знак"/>
    <w:basedOn w:val="a1"/>
    <w:link w:val="ad"/>
    <w:uiPriority w:val="99"/>
    <w:rsid w:val="003D39A6"/>
    <w:rPr>
      <w:rFonts w:ascii="Arial" w:hAnsi="Arial" w:cs="Arial"/>
      <w:sz w:val="24"/>
      <w:szCs w:val="24"/>
      <w:lang w:val="sv-SE" w:eastAsia="sv-SE"/>
    </w:rPr>
  </w:style>
  <w:style w:type="paragraph" w:styleId="af">
    <w:name w:val="footer"/>
    <w:basedOn w:val="a0"/>
    <w:link w:val="af0"/>
    <w:rsid w:val="003D39A6"/>
    <w:pPr>
      <w:tabs>
        <w:tab w:val="center" w:pos="4680"/>
        <w:tab w:val="right" w:pos="9360"/>
      </w:tabs>
    </w:pPr>
  </w:style>
  <w:style w:type="character" w:customStyle="1" w:styleId="af0">
    <w:name w:val="Нижній колонтитул Знак"/>
    <w:basedOn w:val="a1"/>
    <w:link w:val="af"/>
    <w:rsid w:val="003D39A6"/>
    <w:rPr>
      <w:rFonts w:ascii="Arial" w:hAnsi="Arial" w:cs="Arial"/>
      <w:sz w:val="24"/>
      <w:szCs w:val="24"/>
      <w:lang w:val="sv-SE" w:eastAsia="sv-SE"/>
    </w:rPr>
  </w:style>
  <w:style w:type="paragraph" w:styleId="af1">
    <w:name w:val="footnote text"/>
    <w:basedOn w:val="a0"/>
    <w:link w:val="af2"/>
    <w:rsid w:val="00B02771"/>
    <w:rPr>
      <w:sz w:val="20"/>
      <w:szCs w:val="20"/>
    </w:rPr>
  </w:style>
  <w:style w:type="character" w:customStyle="1" w:styleId="af2">
    <w:name w:val="Текст виноски Знак"/>
    <w:basedOn w:val="a1"/>
    <w:link w:val="af1"/>
    <w:rsid w:val="00B02771"/>
    <w:rPr>
      <w:rFonts w:cs="Arial"/>
      <w:lang w:val="sv-SE" w:eastAsia="sv-SE"/>
    </w:rPr>
  </w:style>
  <w:style w:type="character" w:styleId="af3">
    <w:name w:val="footnote reference"/>
    <w:basedOn w:val="a1"/>
    <w:rsid w:val="009062D9"/>
    <w:rPr>
      <w:vertAlign w:val="superscript"/>
    </w:rPr>
  </w:style>
  <w:style w:type="paragraph" w:styleId="af4">
    <w:name w:val="List Paragraph"/>
    <w:basedOn w:val="a0"/>
    <w:link w:val="af5"/>
    <w:uiPriority w:val="34"/>
    <w:qFormat/>
    <w:rsid w:val="00E95C94"/>
    <w:pPr>
      <w:ind w:left="720"/>
      <w:contextualSpacing/>
    </w:pPr>
  </w:style>
  <w:style w:type="paragraph" w:styleId="af6">
    <w:name w:val="Revision"/>
    <w:hidden/>
    <w:uiPriority w:val="99"/>
    <w:semiHidden/>
    <w:rsid w:val="00507964"/>
    <w:rPr>
      <w:rFonts w:ascii="Arial" w:hAnsi="Arial" w:cs="Arial"/>
      <w:sz w:val="24"/>
      <w:szCs w:val="24"/>
      <w:lang w:val="sv-SE" w:eastAsia="sv-SE"/>
    </w:rPr>
  </w:style>
  <w:style w:type="paragraph" w:customStyle="1" w:styleId="Red">
    <w:name w:val="Red"/>
    <w:basedOn w:val="a0"/>
    <w:next w:val="a0"/>
    <w:rsid w:val="00314E99"/>
    <w:rPr>
      <w:rFonts w:cs="Times New Roman"/>
      <w:iCs/>
      <w:color w:val="FF0000"/>
      <w:szCs w:val="20"/>
    </w:rPr>
  </w:style>
  <w:style w:type="paragraph" w:customStyle="1" w:styleId="StyleJustifiedLinespacingAtleast14pt">
    <w:name w:val="Style Justified Line spacing:  At least 14 pt"/>
    <w:basedOn w:val="a0"/>
    <w:rsid w:val="00155AF7"/>
    <w:rPr>
      <w:rFonts w:cs="Times New Roman"/>
      <w:szCs w:val="20"/>
    </w:rPr>
  </w:style>
  <w:style w:type="paragraph" w:customStyle="1" w:styleId="Punkter">
    <w:name w:val="Punkter"/>
    <w:basedOn w:val="30"/>
    <w:qFormat/>
    <w:rsid w:val="00D64842"/>
    <w:pPr>
      <w:numPr>
        <w:numId w:val="5"/>
      </w:numPr>
    </w:pPr>
    <w:rPr>
      <w:szCs w:val="24"/>
    </w:rPr>
  </w:style>
  <w:style w:type="character" w:customStyle="1" w:styleId="31">
    <w:name w:val="Основний текст з відступом 3 Знак"/>
    <w:basedOn w:val="a1"/>
    <w:link w:val="30"/>
    <w:rsid w:val="00624DCC"/>
    <w:rPr>
      <w:rFonts w:cs="Arial"/>
      <w:sz w:val="24"/>
      <w:szCs w:val="16"/>
      <w:lang w:eastAsia="sv-SE"/>
    </w:rPr>
  </w:style>
  <w:style w:type="numbering" w:customStyle="1" w:styleId="Style1">
    <w:name w:val="Style1"/>
    <w:uiPriority w:val="99"/>
    <w:rsid w:val="00692CC1"/>
    <w:pPr>
      <w:numPr>
        <w:numId w:val="23"/>
      </w:numPr>
    </w:pPr>
  </w:style>
  <w:style w:type="character" w:customStyle="1" w:styleId="longtext">
    <w:name w:val="long_text"/>
    <w:rsid w:val="00CA56E5"/>
  </w:style>
  <w:style w:type="character" w:customStyle="1" w:styleId="af5">
    <w:name w:val="Абзац списку Знак"/>
    <w:link w:val="af4"/>
    <w:uiPriority w:val="34"/>
    <w:locked/>
    <w:rsid w:val="00CA56E5"/>
    <w:rPr>
      <w:rFonts w:cs="Arial"/>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D340A"/>
    <w:pPr>
      <w:spacing w:line="300" w:lineRule="atLeast"/>
    </w:pPr>
    <w:rPr>
      <w:rFonts w:cs="Arial"/>
      <w:sz w:val="24"/>
      <w:szCs w:val="24"/>
      <w:lang w:eastAsia="sv-SE"/>
    </w:rPr>
  </w:style>
  <w:style w:type="paragraph" w:styleId="Heading1">
    <w:name w:val="heading 1"/>
    <w:basedOn w:val="Normal"/>
    <w:next w:val="Normal"/>
    <w:link w:val="Heading1Char"/>
    <w:qFormat/>
    <w:rsid w:val="00D149E0"/>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spacing w:before="360" w:after="240"/>
      <w:jc w:val="both"/>
      <w:outlineLvl w:val="0"/>
    </w:pPr>
    <w:rPr>
      <w:rFonts w:ascii="Arial" w:hAnsi="Arial"/>
      <w:b/>
      <w:kern w:val="28"/>
      <w:sz w:val="48"/>
      <w:szCs w:val="48"/>
    </w:rPr>
  </w:style>
  <w:style w:type="paragraph" w:styleId="Heading2">
    <w:name w:val="heading 2"/>
    <w:basedOn w:val="Heading1"/>
    <w:next w:val="Normal"/>
    <w:qFormat/>
    <w:rsid w:val="00E3677F"/>
    <w:pPr>
      <w:tabs>
        <w:tab w:val="clear" w:pos="1134"/>
        <w:tab w:val="left" w:pos="567"/>
      </w:tabs>
      <w:spacing w:before="600"/>
      <w:ind w:left="567" w:hanging="567"/>
      <w:outlineLvl w:val="1"/>
    </w:pPr>
    <w:rPr>
      <w:sz w:val="32"/>
    </w:rPr>
  </w:style>
  <w:style w:type="paragraph" w:styleId="Heading3">
    <w:name w:val="heading 3"/>
    <w:basedOn w:val="Normal"/>
    <w:next w:val="Normal"/>
    <w:rsid w:val="005F4F44"/>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spacing w:before="360"/>
      <w:outlineLvl w:val="2"/>
    </w:pPr>
    <w:rPr>
      <w:rFonts w:ascii="Arial" w:hAnsi="Arial"/>
      <w:b/>
      <w:sz w:val="28"/>
    </w:rPr>
  </w:style>
  <w:style w:type="paragraph" w:styleId="Heading4">
    <w:name w:val="heading 4"/>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3"/>
    </w:pPr>
    <w:rPr>
      <w:b/>
    </w:rPr>
  </w:style>
  <w:style w:type="paragraph" w:styleId="Heading5">
    <w:name w:val="heading 5"/>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4"/>
    </w:pPr>
    <w:rPr>
      <w:b/>
      <w:i/>
    </w:rPr>
  </w:style>
  <w:style w:type="paragraph" w:styleId="Heading6">
    <w:name w:val="heading 6"/>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5"/>
    </w:pPr>
    <w:rPr>
      <w:caps/>
      <w:u w:val="single"/>
    </w:rPr>
  </w:style>
  <w:style w:type="paragraph" w:styleId="Heading7">
    <w:name w:val="heading 7"/>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6"/>
    </w:pPr>
    <w:rPr>
      <w:caps/>
    </w:rPr>
  </w:style>
  <w:style w:type="paragraph" w:styleId="Heading8">
    <w:name w:val="heading 8"/>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7"/>
    </w:pPr>
    <w:rPr>
      <w:u w:val="single"/>
    </w:rPr>
  </w:style>
  <w:style w:type="paragraph" w:styleId="Heading9">
    <w:name w:val="heading 9"/>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ArticleparagrAlt">
    <w:name w:val="Article paragr (Alt+.)"/>
    <w:basedOn w:val="Normal"/>
    <w:next w:val="Normal"/>
    <w:pPr>
      <w:keepNext/>
      <w:tabs>
        <w:tab w:val="left" w:pos="-1134"/>
        <w:tab w:val="left" w:pos="0"/>
        <w:tab w:val="left" w:pos="1418"/>
        <w:tab w:val="left" w:pos="2268"/>
        <w:tab w:val="left" w:pos="3402"/>
        <w:tab w:val="left" w:pos="4536"/>
        <w:tab w:val="left" w:pos="5670"/>
        <w:tab w:val="left" w:pos="6804"/>
        <w:tab w:val="left" w:pos="7938"/>
        <w:tab w:val="left" w:pos="9072"/>
        <w:tab w:val="left" w:pos="10206"/>
      </w:tabs>
      <w:ind w:left="1418" w:hanging="1418"/>
    </w:pPr>
    <w:rPr>
      <w:caps/>
    </w:rPr>
  </w:style>
  <w:style w:type="character" w:styleId="CommentReference">
    <w:name w:val="annotation reference"/>
    <w:basedOn w:val="DefaultParagraphFont"/>
    <w:semiHidden/>
    <w:rPr>
      <w:rFonts w:ascii="Arial" w:hAnsi="Arial"/>
      <w:b/>
      <w:sz w:val="24"/>
    </w:rPr>
  </w:style>
  <w:style w:type="paragraph" w:styleId="CommentText">
    <w:name w:val="annotation text"/>
    <w:basedOn w:val="Normal"/>
    <w:link w:val="CommentTextChar"/>
    <w:semiHidden/>
    <w:rsid w:val="00C72ACC"/>
    <w:pPr>
      <w:tabs>
        <w:tab w:val="left" w:pos="-1134"/>
        <w:tab w:val="left" w:pos="0"/>
        <w:tab w:val="left" w:pos="1134"/>
        <w:tab w:val="left" w:pos="2268"/>
        <w:tab w:val="left" w:pos="3402"/>
        <w:tab w:val="left" w:pos="4536"/>
        <w:tab w:val="left" w:pos="5670"/>
        <w:tab w:val="left" w:pos="6804"/>
        <w:tab w:val="left" w:pos="7938"/>
        <w:tab w:val="left" w:pos="9072"/>
        <w:tab w:val="left" w:pos="10206"/>
      </w:tabs>
    </w:pPr>
    <w:rPr>
      <w:color w:val="000000"/>
    </w:rPr>
  </w:style>
  <w:style w:type="paragraph" w:customStyle="1" w:styleId="HangingIndent">
    <w:name w:val="HangingIndent"/>
    <w:basedOn w:val="Normal"/>
    <w:next w:val="Normal"/>
    <w:pPr>
      <w:tabs>
        <w:tab w:val="left" w:pos="-1134"/>
        <w:tab w:val="left" w:pos="0"/>
        <w:tab w:val="left" w:pos="1134"/>
        <w:tab w:val="left" w:pos="2268"/>
        <w:tab w:val="left" w:pos="3402"/>
        <w:tab w:val="left" w:pos="4536"/>
        <w:tab w:val="left" w:pos="5670"/>
        <w:tab w:val="left" w:pos="6804"/>
        <w:tab w:val="left" w:pos="7938"/>
        <w:tab w:val="left" w:pos="9072"/>
        <w:tab w:val="left" w:pos="10206"/>
      </w:tabs>
      <w:ind w:left="1134" w:hanging="1134"/>
    </w:pPr>
  </w:style>
  <w:style w:type="paragraph" w:customStyle="1" w:styleId="HangingMargin">
    <w:name w:val="HangingMargin"/>
    <w:basedOn w:val="Normal"/>
    <w:next w:val="Normal"/>
    <w:pPr>
      <w:tabs>
        <w:tab w:val="left" w:pos="-1134"/>
        <w:tab w:val="left" w:pos="0"/>
        <w:tab w:val="left" w:pos="1134"/>
        <w:tab w:val="left" w:pos="2268"/>
        <w:tab w:val="left" w:pos="3402"/>
        <w:tab w:val="left" w:pos="4536"/>
        <w:tab w:val="left" w:pos="5670"/>
        <w:tab w:val="left" w:pos="6804"/>
        <w:tab w:val="left" w:pos="7938"/>
        <w:tab w:val="left" w:pos="9072"/>
        <w:tab w:val="left" w:pos="10206"/>
      </w:tabs>
      <w:ind w:hanging="1134"/>
    </w:pPr>
  </w:style>
  <w:style w:type="paragraph" w:styleId="ListBullet">
    <w:name w:val="List Bullet"/>
    <w:basedOn w:val="Normal"/>
    <w:autoRedefine/>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MarginAltm">
    <w:name w:val="Margin (Alt+m)"/>
    <w:basedOn w:val="Normal"/>
    <w:pPr>
      <w:tabs>
        <w:tab w:val="left" w:pos="-1134"/>
        <w:tab w:val="left" w:pos="0"/>
        <w:tab w:val="left" w:pos="1134"/>
        <w:tab w:val="left" w:pos="2268"/>
        <w:tab w:val="left" w:pos="3402"/>
        <w:tab w:val="left" w:pos="4536"/>
        <w:tab w:val="left" w:pos="5670"/>
        <w:tab w:val="left" w:pos="6804"/>
        <w:tab w:val="left" w:pos="7938"/>
        <w:tab w:val="left" w:pos="9072"/>
        <w:tab w:val="left" w:pos="10206"/>
      </w:tabs>
      <w:ind w:left="-1134" w:right="-1134"/>
    </w:pPr>
  </w:style>
  <w:style w:type="paragraph" w:customStyle="1" w:styleId="Rubrik1AltR1">
    <w:name w:val="Rubrik 1 (Alt+R1)"/>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b/>
      <w:caps/>
    </w:rPr>
  </w:style>
  <w:style w:type="paragraph" w:customStyle="1" w:styleId="Rubrik2AltR2">
    <w:name w:val="Rubrik 2 (Alt+R2)"/>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b/>
    </w:rPr>
  </w:style>
  <w:style w:type="paragraph" w:customStyle="1" w:styleId="Rubrik3AltR3">
    <w:name w:val="Rubrik 3 (Alt+R3)"/>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caps/>
    </w:rPr>
  </w:style>
  <w:style w:type="paragraph" w:customStyle="1" w:styleId="Rubrik4AltR4">
    <w:name w:val="Rubrik 4 (Alt+R4)"/>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i/>
    </w:rPr>
  </w:style>
  <w:style w:type="paragraph" w:styleId="Signature">
    <w:name w:val="Signature"/>
    <w:basedOn w:val="Normal"/>
    <w:pPr>
      <w:tabs>
        <w:tab w:val="left" w:pos="-1134"/>
        <w:tab w:val="left" w:pos="0"/>
        <w:tab w:val="left" w:pos="1134"/>
        <w:tab w:val="left" w:pos="2268"/>
        <w:tab w:val="left" w:pos="3402"/>
        <w:tab w:val="left" w:pos="4536"/>
        <w:tab w:val="left" w:pos="5670"/>
        <w:tab w:val="left" w:pos="6804"/>
        <w:tab w:val="left" w:pos="7938"/>
        <w:tab w:val="left" w:pos="9072"/>
        <w:tab w:val="left" w:pos="10206"/>
      </w:tabs>
      <w:ind w:left="4320"/>
    </w:pPr>
  </w:style>
  <w:style w:type="paragraph" w:styleId="BodyTextIndent3">
    <w:name w:val="Body Text Indent 3"/>
    <w:basedOn w:val="Normal"/>
    <w:link w:val="BodyTextIndent3Char"/>
    <w:rsid w:val="00624DCC"/>
    <w:pPr>
      <w:tabs>
        <w:tab w:val="left" w:pos="567"/>
      </w:tabs>
      <w:spacing w:after="120"/>
      <w:ind w:left="567"/>
    </w:pPr>
    <w:rPr>
      <w:szCs w:val="16"/>
    </w:rPr>
  </w:style>
  <w:style w:type="character" w:customStyle="1" w:styleId="Heading1Char">
    <w:name w:val="Heading 1 Char"/>
    <w:basedOn w:val="DefaultParagraphFont"/>
    <w:link w:val="Heading1"/>
    <w:rsid w:val="00D149E0"/>
    <w:rPr>
      <w:rFonts w:ascii="Arial" w:hAnsi="Arial" w:cs="Arial"/>
      <w:b/>
      <w:kern w:val="28"/>
      <w:sz w:val="48"/>
      <w:szCs w:val="48"/>
      <w:lang w:eastAsia="sv-SE"/>
    </w:rPr>
  </w:style>
  <w:style w:type="paragraph" w:styleId="CommentSubject">
    <w:name w:val="annotation subject"/>
    <w:basedOn w:val="CommentText"/>
    <w:next w:val="CommentText"/>
    <w:link w:val="CommentSubjectChar"/>
    <w:rsid w:val="009712A6"/>
    <w:pPr>
      <w:tabs>
        <w:tab w:val="clear" w:pos="-1134"/>
        <w:tab w:val="clear" w:pos="0"/>
        <w:tab w:val="clear" w:pos="1134"/>
        <w:tab w:val="clear" w:pos="2268"/>
        <w:tab w:val="clear" w:pos="3402"/>
        <w:tab w:val="clear" w:pos="4536"/>
        <w:tab w:val="clear" w:pos="5670"/>
        <w:tab w:val="clear" w:pos="6804"/>
        <w:tab w:val="clear" w:pos="7938"/>
        <w:tab w:val="clear" w:pos="9072"/>
        <w:tab w:val="clear" w:pos="10206"/>
      </w:tabs>
    </w:pPr>
    <w:rPr>
      <w:b/>
      <w:bCs/>
      <w:color w:val="auto"/>
      <w:sz w:val="20"/>
      <w:szCs w:val="20"/>
    </w:rPr>
  </w:style>
  <w:style w:type="character" w:customStyle="1" w:styleId="CommentTextChar">
    <w:name w:val="Comment Text Char"/>
    <w:basedOn w:val="DefaultParagraphFont"/>
    <w:link w:val="CommentText"/>
    <w:semiHidden/>
    <w:rsid w:val="009712A6"/>
    <w:rPr>
      <w:rFonts w:ascii="Arial" w:hAnsi="Arial" w:cs="Arial"/>
      <w:color w:val="000000"/>
      <w:sz w:val="24"/>
      <w:szCs w:val="24"/>
    </w:rPr>
  </w:style>
  <w:style w:type="character" w:customStyle="1" w:styleId="CommentSubjectChar">
    <w:name w:val="Comment Subject Char"/>
    <w:basedOn w:val="CommentTextChar"/>
    <w:link w:val="CommentSubject"/>
    <w:rsid w:val="009712A6"/>
    <w:rPr>
      <w:rFonts w:ascii="Arial" w:hAnsi="Arial" w:cs="Arial"/>
      <w:color w:val="000000"/>
      <w:sz w:val="24"/>
      <w:szCs w:val="24"/>
    </w:rPr>
  </w:style>
  <w:style w:type="paragraph" w:styleId="BalloonText">
    <w:name w:val="Balloon Text"/>
    <w:basedOn w:val="Normal"/>
    <w:link w:val="BalloonTextChar"/>
    <w:rsid w:val="009712A6"/>
    <w:rPr>
      <w:rFonts w:ascii="Tahoma" w:hAnsi="Tahoma" w:cs="Tahoma"/>
      <w:sz w:val="16"/>
      <w:szCs w:val="16"/>
    </w:rPr>
  </w:style>
  <w:style w:type="character" w:customStyle="1" w:styleId="BalloonTextChar">
    <w:name w:val="Balloon Text Char"/>
    <w:basedOn w:val="DefaultParagraphFont"/>
    <w:link w:val="BalloonText"/>
    <w:rsid w:val="009712A6"/>
    <w:rPr>
      <w:rFonts w:ascii="Tahoma" w:hAnsi="Tahoma" w:cs="Tahoma"/>
      <w:sz w:val="16"/>
      <w:szCs w:val="16"/>
    </w:rPr>
  </w:style>
  <w:style w:type="paragraph" w:styleId="Header">
    <w:name w:val="header"/>
    <w:basedOn w:val="Normal"/>
    <w:link w:val="HeaderChar"/>
    <w:uiPriority w:val="99"/>
    <w:rsid w:val="003D39A6"/>
    <w:pPr>
      <w:tabs>
        <w:tab w:val="center" w:pos="4680"/>
        <w:tab w:val="right" w:pos="9360"/>
      </w:tabs>
    </w:pPr>
  </w:style>
  <w:style w:type="character" w:customStyle="1" w:styleId="HeaderChar">
    <w:name w:val="Header Char"/>
    <w:basedOn w:val="DefaultParagraphFont"/>
    <w:link w:val="Header"/>
    <w:uiPriority w:val="99"/>
    <w:rsid w:val="003D39A6"/>
    <w:rPr>
      <w:rFonts w:ascii="Arial" w:hAnsi="Arial" w:cs="Arial"/>
      <w:sz w:val="24"/>
      <w:szCs w:val="24"/>
      <w:lang w:val="sv-SE" w:eastAsia="sv-SE"/>
    </w:rPr>
  </w:style>
  <w:style w:type="paragraph" w:styleId="Footer">
    <w:name w:val="footer"/>
    <w:basedOn w:val="Normal"/>
    <w:link w:val="FooterChar"/>
    <w:rsid w:val="003D39A6"/>
    <w:pPr>
      <w:tabs>
        <w:tab w:val="center" w:pos="4680"/>
        <w:tab w:val="right" w:pos="9360"/>
      </w:tabs>
    </w:pPr>
  </w:style>
  <w:style w:type="character" w:customStyle="1" w:styleId="FooterChar">
    <w:name w:val="Footer Char"/>
    <w:basedOn w:val="DefaultParagraphFont"/>
    <w:link w:val="Footer"/>
    <w:rsid w:val="003D39A6"/>
    <w:rPr>
      <w:rFonts w:ascii="Arial" w:hAnsi="Arial" w:cs="Arial"/>
      <w:sz w:val="24"/>
      <w:szCs w:val="24"/>
      <w:lang w:val="sv-SE" w:eastAsia="sv-SE"/>
    </w:rPr>
  </w:style>
  <w:style w:type="paragraph" w:styleId="FootnoteText">
    <w:name w:val="footnote text"/>
    <w:basedOn w:val="Normal"/>
    <w:link w:val="FootnoteTextChar"/>
    <w:rsid w:val="00B02771"/>
    <w:rPr>
      <w:sz w:val="20"/>
      <w:szCs w:val="20"/>
    </w:rPr>
  </w:style>
  <w:style w:type="character" w:customStyle="1" w:styleId="FootnoteTextChar">
    <w:name w:val="Footnote Text Char"/>
    <w:basedOn w:val="DefaultParagraphFont"/>
    <w:link w:val="FootnoteText"/>
    <w:rsid w:val="00B02771"/>
    <w:rPr>
      <w:rFonts w:cs="Arial"/>
      <w:lang w:val="sv-SE" w:eastAsia="sv-SE"/>
    </w:rPr>
  </w:style>
  <w:style w:type="character" w:styleId="FootnoteReference">
    <w:name w:val="footnote reference"/>
    <w:basedOn w:val="DefaultParagraphFont"/>
    <w:rsid w:val="009062D9"/>
    <w:rPr>
      <w:vertAlign w:val="superscript"/>
    </w:rPr>
  </w:style>
  <w:style w:type="paragraph" w:styleId="ListParagraph">
    <w:name w:val="List Paragraph"/>
    <w:basedOn w:val="Normal"/>
    <w:uiPriority w:val="34"/>
    <w:qFormat/>
    <w:rsid w:val="00E95C94"/>
    <w:pPr>
      <w:ind w:left="720"/>
      <w:contextualSpacing/>
    </w:pPr>
  </w:style>
  <w:style w:type="paragraph" w:styleId="Revision">
    <w:name w:val="Revision"/>
    <w:hidden/>
    <w:uiPriority w:val="99"/>
    <w:semiHidden/>
    <w:rsid w:val="00507964"/>
    <w:rPr>
      <w:rFonts w:ascii="Arial" w:hAnsi="Arial" w:cs="Arial"/>
      <w:sz w:val="24"/>
      <w:szCs w:val="24"/>
      <w:lang w:val="sv-SE" w:eastAsia="sv-SE"/>
    </w:rPr>
  </w:style>
  <w:style w:type="paragraph" w:customStyle="1" w:styleId="Red">
    <w:name w:val="Red"/>
    <w:basedOn w:val="Normal"/>
    <w:next w:val="Normal"/>
    <w:rsid w:val="00314E99"/>
    <w:rPr>
      <w:rFonts w:cs="Times New Roman"/>
      <w:iCs/>
      <w:color w:val="FF0000"/>
      <w:szCs w:val="20"/>
    </w:rPr>
  </w:style>
  <w:style w:type="paragraph" w:customStyle="1" w:styleId="StyleJustifiedLinespacingAtleast14pt">
    <w:name w:val="Style Justified Line spacing:  At least 14 pt"/>
    <w:basedOn w:val="Normal"/>
    <w:rsid w:val="00155AF7"/>
    <w:rPr>
      <w:rFonts w:cs="Times New Roman"/>
      <w:szCs w:val="20"/>
    </w:rPr>
  </w:style>
  <w:style w:type="paragraph" w:customStyle="1" w:styleId="Punkter">
    <w:name w:val="Punkter"/>
    <w:basedOn w:val="BodyTextIndent3"/>
    <w:qFormat/>
    <w:rsid w:val="00D64842"/>
    <w:pPr>
      <w:numPr>
        <w:numId w:val="5"/>
      </w:numPr>
    </w:pPr>
    <w:rPr>
      <w:szCs w:val="24"/>
    </w:rPr>
  </w:style>
  <w:style w:type="character" w:customStyle="1" w:styleId="BodyTextIndent3Char">
    <w:name w:val="Body Text Indent 3 Char"/>
    <w:basedOn w:val="DefaultParagraphFont"/>
    <w:link w:val="BodyTextIndent3"/>
    <w:rsid w:val="00624DCC"/>
    <w:rPr>
      <w:rFonts w:cs="Arial"/>
      <w:sz w:val="24"/>
      <w:szCs w:val="16"/>
      <w:lang w:eastAsia="sv-SE"/>
    </w:rPr>
  </w:style>
  <w:style w:type="numbering" w:customStyle="1" w:styleId="Style1">
    <w:name w:val="Style1"/>
    <w:uiPriority w:val="99"/>
    <w:rsid w:val="00692CC1"/>
    <w:pPr>
      <w:numPr>
        <w:numId w:val="23"/>
      </w:numPr>
    </w:pPr>
  </w:style>
</w:styles>
</file>

<file path=word/webSettings.xml><?xml version="1.0" encoding="utf-8"?>
<w:webSettings xmlns:r="http://schemas.openxmlformats.org/officeDocument/2006/relationships" xmlns:w="http://schemas.openxmlformats.org/wordprocessingml/2006/main">
  <w:divs>
    <w:div w:id="146573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indblo\AppData\Roaming\Microsoft\Templates\4%20Aud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51CE58783A6A4BAB6B5C8ECB82D28A" ma:contentTypeVersion="17" ma:contentTypeDescription="Create a new document." ma:contentTypeScope="" ma:versionID="509383c07244169eedd4eb8f208075a7">
  <xsd:schema xmlns:xsd="http://www.w3.org/2001/XMLSchema" xmlns:xs="http://www.w3.org/2001/XMLSchema" xmlns:p="http://schemas.microsoft.com/office/2006/metadata/properties" xmlns:ns2="3378b801-3009-4207-9cc1-6636bfb6d63a" xmlns:ns3="8489800d-a601-41b9-98b6-ec77e69f1222" targetNamespace="http://schemas.microsoft.com/office/2006/metadata/properties" ma:root="true" ma:fieldsID="09883f0406fb6daa7a3338e2dadfd2c6" ns2:_="" ns3:_="">
    <xsd:import namespace="3378b801-3009-4207-9cc1-6636bfb6d63a"/>
    <xsd:import namespace="8489800d-a601-41b9-98b6-ec77e69f1222"/>
    <xsd:element name="properties">
      <xsd:complexType>
        <xsd:sequence>
          <xsd:element name="documentManagement">
            <xsd:complexType>
              <xsd:all>
                <xsd:element ref="ns2:KITWikiContact"/>
                <xsd:element ref="ns2:KITDocumentTypeTaxHTField_0" minOccurs="0"/>
                <xsd:element ref="ns2:TaxCatchAll" minOccurs="0"/>
                <xsd:element ref="ns2:TaxKeywordTaxHTField" minOccurs="0"/>
                <xsd:element ref="ns2:KITOrganizationTaxHTField_0" minOccurs="0"/>
                <xsd:element ref="ns2:KITNetworkTaxHTField_0" minOccurs="0"/>
                <xsd:element ref="ns2:KITProcessesTaxHTField_0" minOccurs="0"/>
                <xsd:element ref="ns3:d6a0f5739a9e47069fd821bef6131b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8b801-3009-4207-9cc1-6636bfb6d63a" elementFormDefault="qualified">
    <xsd:import namespace="http://schemas.microsoft.com/office/2006/documentManagement/types"/>
    <xsd:import namespace="http://schemas.microsoft.com/office/infopath/2007/PartnerControls"/>
    <xsd:element name="KITWikiContact" ma:index="8" ma:displayName="Contact" ma:internalName="KITWiki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ITDocumentTypeTaxHTField_0" ma:index="10" nillable="true" ma:taxonomy="true" ma:internalName="KITDocumentType_0" ma:taxonomyFieldName="KITDocumentType" ma:displayName="Type" ma:fieldId="{49cf784a-f25d-4a22-94a7-daac93d228d6}" ma:sspId="791f6f3f-132c-4156-b3a0-3ec1f60580d9" ma:termSetId="7f67b274-3a41-48b7-b288-fac5d357bd07"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039668b-4103-41ea-9073-6c604b72c445}" ma:internalName="TaxCatchAll" ma:showField="CatchAllData" ma:web="3378b801-3009-4207-9cc1-6636bfb6d63a">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791f6f3f-132c-4156-b3a0-3ec1f60580d9" ma:termSetId="00000000-0000-0000-0000-000000000000" ma:anchorId="00000000-0000-0000-0000-000000000000" ma:open="true" ma:isKeyword="true">
      <xsd:complexType>
        <xsd:sequence>
          <xsd:element ref="pc:Terms" minOccurs="0" maxOccurs="1"/>
        </xsd:sequence>
      </xsd:complexType>
    </xsd:element>
    <xsd:element name="KITOrganizationTaxHTField_0" ma:index="15" nillable="true" ma:taxonomy="true" ma:internalName="KITOrganization_0" ma:taxonomyFieldName="KITOrganization" ma:displayName="Organization" ma:fieldId="{77156a70-b45b-4603-b3fc-942ecb3414ef}" ma:sspId="791f6f3f-132c-4156-b3a0-3ec1f60580d9" ma:termSetId="efd06d8e-7ca2-471b-8d15-5bf08cd456bb" ma:anchorId="00000000-0000-0000-0000-000000000000" ma:open="false" ma:isKeyword="false">
      <xsd:complexType>
        <xsd:sequence>
          <xsd:element ref="pc:Terms" minOccurs="0" maxOccurs="1"/>
        </xsd:sequence>
      </xsd:complexType>
    </xsd:element>
    <xsd:element name="KITNetworkTaxHTField_0" ma:index="17" nillable="true" ma:taxonomy="true" ma:internalName="KITNetwork_0" ma:taxonomyFieldName="KITNetwork" ma:displayName="Network" ma:fieldId="{dbc3e444-2ed9-4f70-86c4-26950c6b3a77}" ma:sspId="791f6f3f-132c-4156-b3a0-3ec1f60580d9" ma:termSetId="baca2e4c-24ca-4fd1-a41d-d8dfecc89ec0" ma:anchorId="00000000-0000-0000-0000-000000000000" ma:open="false" ma:isKeyword="false">
      <xsd:complexType>
        <xsd:sequence>
          <xsd:element ref="pc:Terms" minOccurs="0" maxOccurs="1"/>
        </xsd:sequence>
      </xsd:complexType>
    </xsd:element>
    <xsd:element name="KITProcessesTaxHTField_0" ma:index="19" nillable="true" ma:taxonomy="true" ma:internalName="KITProcesses_0" ma:taxonomyFieldName="KITProcesses" ma:displayName="Processes" ma:fieldId="{5770f58e-99b5-46ab-b6cb-e61eca3533c6}" ma:sspId="791f6f3f-132c-4156-b3a0-3ec1f60580d9" ma:termSetId="b790320a-fc48-42b5-8932-1b7b39b1410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89800d-a601-41b9-98b6-ec77e69f1222" elementFormDefault="qualified">
    <xsd:import namespace="http://schemas.microsoft.com/office/2006/documentManagement/types"/>
    <xsd:import namespace="http://schemas.microsoft.com/office/infopath/2007/PartnerControls"/>
    <xsd:element name="d6a0f5739a9e47069fd821bef6131be4" ma:index="21" ma:taxonomy="true" ma:internalName="d6a0f5739a9e47069fd821bef6131be4" ma:taxonomyFieldName="Mallkategori2" ma:displayName="Mallkategori" ma:readOnly="false" ma:default="" ma:fieldId="{d6a0f573-9a9e-4706-9fd8-21bef6131be4}" ma:sspId="791f6f3f-132c-4156-b3a0-3ec1f60580d9" ma:termSetId="74aa5e97-f8b9-4551-8b30-5649c008ff9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6a0f5739a9e47069fd821bef6131be4 xmlns="8489800d-a601-41b9-98b6-ec77e69f1222">
      <Terms xmlns="http://schemas.microsoft.com/office/infopath/2007/PartnerControls">
        <TermInfo xmlns="http://schemas.microsoft.com/office/infopath/2007/PartnerControls">
          <TermName xmlns="http://schemas.microsoft.com/office/infopath/2007/PartnerControls">Avtal i biståndet</TermName>
          <TermId xmlns="http://schemas.microsoft.com/office/infopath/2007/PartnerControls">5241946c-677b-463c-ba47-d10964cb31ee</TermId>
        </TermInfo>
      </Terms>
    </d6a0f5739a9e47069fd821bef6131be4>
    <KITProcessesTaxHTField_0 xmlns="3378b801-3009-4207-9cc1-6636bfb6d63a">
      <Terms xmlns="http://schemas.microsoft.com/office/infopath/2007/PartnerControls"/>
    </KITProcessesTaxHTField_0>
    <KITOrganizationTaxHTField_0 xmlns="3378b801-3009-4207-9cc1-6636bfb6d63a">
      <Terms xmlns="http://schemas.microsoft.com/office/infopath/2007/PartnerControls"/>
    </KITOrganizationTaxHTField_0>
    <KITWikiContact xmlns="3378b801-3009-4207-9cc1-6636bfb6d63a">
      <UserInfo>
        <DisplayName>Åsa Fredriksson</DisplayName>
        <AccountId>123</AccountId>
        <AccountType/>
      </UserInfo>
    </KITWikiContact>
    <TaxCatchAll xmlns="3378b801-3009-4207-9cc1-6636bfb6d63a">
      <Value>124</Value>
      <Value>135</Value>
      <Value>133</Value>
    </TaxCatchAll>
    <KITDocumentTypeTaxHTField_0 xmlns="3378b801-3009-4207-9cc1-6636bfb6d63a">
      <Terms xmlns="http://schemas.microsoft.com/office/infopath/2007/PartnerControls"/>
    </KITDocumentTypeTaxHTField_0>
    <TaxKeywordTaxHTField xmlns="3378b801-3009-4207-9cc1-6636bfb6d63a">
      <Terms xmlns="http://schemas.microsoft.com/office/infopath/2007/PartnerControls">
        <TermInfo xmlns="http://schemas.microsoft.com/office/infopath/2007/PartnerControls">
          <TermName xmlns="http://schemas.microsoft.com/office/infopath/2007/PartnerControls">Grant Agreement</TermName>
          <TermId xmlns="http://schemas.microsoft.com/office/infopath/2007/PartnerControls">a036c258-d72b-4a65-8975-c267ee03ec8c</TermId>
        </TermInfo>
        <TermInfo xmlns="http://schemas.microsoft.com/office/infopath/2007/PartnerControls">
          <TermName xmlns="http://schemas.microsoft.com/office/infopath/2007/PartnerControls">Annual audit</TermName>
          <TermId xmlns="http://schemas.microsoft.com/office/infopath/2007/PartnerControls">892df032-2c69-45c1-a363-740b05e23839</TermId>
        </TermInfo>
      </Terms>
    </TaxKeywordTaxHTField>
    <KITNetworkTaxHTField_0 xmlns="3378b801-3009-4207-9cc1-6636bfb6d63a">
      <Terms xmlns="http://schemas.microsoft.com/office/infopath/2007/PartnerControls"/>
    </KITNetworkTaxHTField_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34B41A-01EC-4D41-9108-76D2F1223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8b801-3009-4207-9cc1-6636bfb6d63a"/>
    <ds:schemaRef ds:uri="8489800d-a601-41b9-98b6-ec77e69f1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4FB5DB-6D1A-4883-A2C1-B7E6BA45E23B}">
  <ds:schemaRefs>
    <ds:schemaRef ds:uri="http://schemas.microsoft.com/office/2006/metadata/properties"/>
    <ds:schemaRef ds:uri="http://schemas.microsoft.com/office/infopath/2007/PartnerControls"/>
    <ds:schemaRef ds:uri="8489800d-a601-41b9-98b6-ec77e69f1222"/>
    <ds:schemaRef ds:uri="3378b801-3009-4207-9cc1-6636bfb6d63a"/>
  </ds:schemaRefs>
</ds:datastoreItem>
</file>

<file path=customXml/itemProps3.xml><?xml version="1.0" encoding="utf-8"?>
<ds:datastoreItem xmlns:ds="http://schemas.openxmlformats.org/officeDocument/2006/customXml" ds:itemID="{DFA92CF2-471C-46D2-B290-B420555BD5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 Audit.dotx</Template>
  <TotalTime>21</TotalTime>
  <Pages>3</Pages>
  <Words>4509</Words>
  <Characters>2571</Characters>
  <Application>Microsoft Office Word</Application>
  <DocSecurity>0</DocSecurity>
  <Lines>21</Lines>
  <Paragraphs>14</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Audit of</vt:lpstr>
      <vt:lpstr>Audit of</vt:lpstr>
    </vt:vector>
  </TitlesOfParts>
  <Company>Sida</Company>
  <LinksUpToDate>false</LinksUpToDate>
  <CharactersWithSpaces>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of</dc:title>
  <cp:keywords>Grant Agreement, Annual audit</cp:keywords>
  <dc:description>NGO</dc:description>
  <cp:lastModifiedBy>Golota</cp:lastModifiedBy>
  <cp:revision>9</cp:revision>
  <cp:lastPrinted>2017-11-13T09:17:00Z</cp:lastPrinted>
  <dcterms:created xsi:type="dcterms:W3CDTF">2017-11-22T15:42:00Z</dcterms:created>
  <dcterms:modified xsi:type="dcterms:W3CDTF">2020-10-20T13:39:00Z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0x010100B151CE58783A6A4BAB6B5C8ECB82D28A</vt:lpwstr>
  </property>
  <property fmtid="{D5CDD505-2E9C-101B-9397-08002B2CF9AE}" pid="3" name="_dlc_DocIdItemGuid">
    <vt:lpwstr>b1adb31e-0c1b-4d70-b49f-94360ff543ef</vt:lpwstr>
  </property>
  <property fmtid="{D5CDD505-2E9C-101B-9397-08002B2CF9AE}" pid="4" name="Organisation">
    <vt:lpwstr/>
  </property>
  <property fmtid="{D5CDD505-2E9C-101B-9397-08002B2CF9AE}" pid="5" name="TaxKeyword">
    <vt:lpwstr>124;#Grant Agreement|a036c258-d72b-4a65-8975-c267ee03ec8c;#133;#Annual audit|892df032-2c69-45c1-a363-740b05e23839</vt:lpwstr>
  </property>
  <property fmtid="{D5CDD505-2E9C-101B-9397-08002B2CF9AE}" pid="6" name="KITProcesses">
    <vt:lpwstr/>
  </property>
  <property fmtid="{D5CDD505-2E9C-101B-9397-08002B2CF9AE}" pid="7" name="Mallkategori2">
    <vt:lpwstr>135;#Avtal i biståndet|5241946c-677b-463c-ba47-d10964cb31ee</vt:lpwstr>
  </property>
  <property fmtid="{D5CDD505-2E9C-101B-9397-08002B2CF9AE}" pid="8" name="KITNetwork">
    <vt:lpwstr/>
  </property>
  <property fmtid="{D5CDD505-2E9C-101B-9397-08002B2CF9AE}" pid="9" name="KITDocumentType">
    <vt:lpwstr/>
  </property>
  <property fmtid="{D5CDD505-2E9C-101B-9397-08002B2CF9AE}" pid="10" name="KITOrganization">
    <vt:lpwstr/>
  </property>
</Properties>
</file>