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D4" w:rsidRPr="00E37E93" w:rsidRDefault="006B3E92" w:rsidP="00F44D90">
      <w:pPr>
        <w:jc w:val="right"/>
      </w:pPr>
      <w:r w:rsidRPr="00E37E93">
        <w:t>Додаток 1</w:t>
      </w:r>
    </w:p>
    <w:p w:rsidR="006B3E92" w:rsidRPr="00E37E93" w:rsidRDefault="006B3E92" w:rsidP="00F44D90">
      <w:pPr>
        <w:tabs>
          <w:tab w:val="left" w:pos="993"/>
        </w:tabs>
        <w:spacing w:after="0" w:line="288" w:lineRule="auto"/>
        <w:jc w:val="center"/>
        <w:rPr>
          <w:b/>
        </w:rPr>
      </w:pPr>
      <w:r w:rsidRPr="00E37E93">
        <w:rPr>
          <w:b/>
        </w:rPr>
        <w:t>ТЕХНІЧНЕ ЗАВДАННЯ</w:t>
      </w:r>
    </w:p>
    <w:p w:rsidR="006B3E92" w:rsidRPr="00E37E93" w:rsidRDefault="006B3E92" w:rsidP="00F44D90">
      <w:pPr>
        <w:tabs>
          <w:tab w:val="left" w:pos="993"/>
        </w:tabs>
        <w:spacing w:after="0" w:line="288" w:lineRule="auto"/>
        <w:jc w:val="center"/>
        <w:rPr>
          <w:b/>
          <w:bCs/>
        </w:rPr>
      </w:pPr>
      <w:r w:rsidRPr="00E37E93">
        <w:rPr>
          <w:b/>
        </w:rPr>
        <w:t xml:space="preserve">на проведення </w:t>
      </w:r>
      <w:r w:rsidRPr="00E37E93">
        <w:rPr>
          <w:b/>
          <w:bCs/>
        </w:rPr>
        <w:t xml:space="preserve">фінансового аудиту організацій-учасниць </w:t>
      </w:r>
    </w:p>
    <w:p w:rsidR="006B3E92" w:rsidRPr="00E37E93" w:rsidRDefault="006B3E92" w:rsidP="00F44D90">
      <w:pPr>
        <w:tabs>
          <w:tab w:val="left" w:pos="993"/>
        </w:tabs>
        <w:spacing w:after="0" w:line="288" w:lineRule="auto"/>
        <w:jc w:val="center"/>
        <w:rPr>
          <w:b/>
        </w:rPr>
      </w:pPr>
      <w:r w:rsidRPr="00E37E93">
        <w:rPr>
          <w:b/>
          <w:bCs/>
        </w:rPr>
        <w:t xml:space="preserve">конкурсу </w:t>
      </w:r>
      <w:r w:rsidRPr="00E37E93">
        <w:rPr>
          <w:b/>
        </w:rPr>
        <w:t xml:space="preserve">«Підвищення організаційної спроможності інститутів громадянського суспільства, які працюють в екологічній сфері» </w:t>
      </w:r>
      <w:r w:rsidRPr="00E37E93">
        <w:rPr>
          <w:b/>
          <w:bCs/>
        </w:rPr>
        <w:t xml:space="preserve"> у 2019 році </w:t>
      </w:r>
    </w:p>
    <w:p w:rsidR="006B3E92" w:rsidRPr="00E37E93" w:rsidRDefault="006B3E92" w:rsidP="00F44D90">
      <w:pPr>
        <w:tabs>
          <w:tab w:val="left" w:pos="993"/>
        </w:tabs>
        <w:spacing w:after="0" w:line="288" w:lineRule="auto"/>
        <w:jc w:val="center"/>
        <w:rPr>
          <w:b/>
        </w:rPr>
      </w:pPr>
      <w:r w:rsidRPr="00E37E93">
        <w:rPr>
          <w:b/>
          <w:bCs/>
        </w:rPr>
        <w:t>в межах</w:t>
      </w:r>
      <w:r w:rsidRPr="00E37E93">
        <w:rPr>
          <w:b/>
        </w:rPr>
        <w:t xml:space="preserve"> Ініціативи з розвитку екологічної політики й адвокації в Україні </w:t>
      </w:r>
    </w:p>
    <w:p w:rsidR="006B3E92" w:rsidRPr="00E37E93" w:rsidRDefault="006B3E92" w:rsidP="00F44D90">
      <w:pPr>
        <w:pStyle w:val="normal"/>
        <w:spacing w:line="288" w:lineRule="auto"/>
        <w:jc w:val="both"/>
        <w:rPr>
          <w:rFonts w:asciiTheme="minorHAnsi" w:hAnsiTheme="minorHAnsi"/>
        </w:rPr>
      </w:pPr>
    </w:p>
    <w:p w:rsidR="00F44D90" w:rsidRDefault="00F44D90" w:rsidP="00361B9E">
      <w:pPr>
        <w:pStyle w:val="a3"/>
        <w:spacing w:before="0" w:beforeAutospacing="0" w:after="0" w:afterAutospacing="0" w:line="288" w:lineRule="auto"/>
        <w:jc w:val="both"/>
        <w:rPr>
          <w:rFonts w:asciiTheme="minorHAnsi" w:hAnsiTheme="minorHAnsi" w:cs="Times New Roman"/>
          <w:sz w:val="22"/>
          <w:szCs w:val="22"/>
          <w:lang w:val="uk-UA"/>
        </w:rPr>
      </w:pPr>
      <w:r w:rsidRPr="00E37E93">
        <w:rPr>
          <w:rFonts w:asciiTheme="minorHAnsi" w:hAnsiTheme="minorHAnsi" w:cs="Times New Roman"/>
          <w:sz w:val="22"/>
          <w:szCs w:val="22"/>
          <w:lang w:val="uk-UA"/>
        </w:rPr>
        <w:t xml:space="preserve">Міжнародний фонд </w:t>
      </w:r>
      <w:proofErr w:type="spellStart"/>
      <w:r w:rsidRPr="00E37E93">
        <w:rPr>
          <w:rFonts w:asciiTheme="minorHAnsi" w:hAnsiTheme="minorHAnsi" w:cs="Times New Roman"/>
          <w:sz w:val="22"/>
          <w:szCs w:val="22"/>
          <w:lang w:val="uk-UA"/>
        </w:rPr>
        <w:t>“Відродження”</w:t>
      </w:r>
      <w:proofErr w:type="spellEnd"/>
      <w:r w:rsidRPr="00E37E93">
        <w:rPr>
          <w:rFonts w:asciiTheme="minorHAnsi" w:hAnsiTheme="minorHAnsi" w:cs="Times New Roman"/>
          <w:sz w:val="22"/>
          <w:szCs w:val="22"/>
          <w:lang w:val="uk-UA"/>
        </w:rPr>
        <w:t xml:space="preserve"> (МФВ) розпочав виконання чотирирічної </w:t>
      </w:r>
      <w:proofErr w:type="spellStart"/>
      <w:r w:rsidRPr="00E37E93">
        <w:rPr>
          <w:rFonts w:asciiTheme="minorHAnsi" w:hAnsiTheme="minorHAnsi" w:cs="Times New Roman"/>
          <w:sz w:val="22"/>
          <w:szCs w:val="22"/>
          <w:lang w:val="uk-UA"/>
        </w:rPr>
        <w:t>“</w:t>
      </w:r>
      <w:hyperlink r:id="rId5" w:history="1">
        <w:r w:rsidRPr="00E37E93">
          <w:rPr>
            <w:rStyle w:val="a4"/>
            <w:rFonts w:asciiTheme="minorHAnsi" w:hAnsiTheme="minorHAnsi" w:cs="Times New Roman"/>
            <w:sz w:val="22"/>
            <w:szCs w:val="22"/>
            <w:lang w:val="uk-UA"/>
          </w:rPr>
          <w:t>Ініціативи</w:t>
        </w:r>
        <w:proofErr w:type="spellEnd"/>
        <w:r w:rsidRPr="00E37E93">
          <w:rPr>
            <w:rStyle w:val="a4"/>
            <w:rFonts w:asciiTheme="minorHAnsi" w:hAnsiTheme="minorHAnsi" w:cs="Times New Roman"/>
            <w:sz w:val="22"/>
            <w:szCs w:val="22"/>
            <w:lang w:val="uk-UA"/>
          </w:rPr>
          <w:t xml:space="preserve"> з розвитку екологічної політики та адвокації в </w:t>
        </w:r>
        <w:proofErr w:type="spellStart"/>
        <w:r w:rsidRPr="00E37E93">
          <w:rPr>
            <w:rStyle w:val="a4"/>
            <w:rFonts w:asciiTheme="minorHAnsi" w:hAnsiTheme="minorHAnsi" w:cs="Times New Roman"/>
            <w:sz w:val="22"/>
            <w:szCs w:val="22"/>
            <w:lang w:val="uk-UA"/>
          </w:rPr>
          <w:t>Україні</w:t>
        </w:r>
      </w:hyperlink>
      <w:r w:rsidRPr="00E37E93">
        <w:rPr>
          <w:rFonts w:asciiTheme="minorHAnsi" w:hAnsiTheme="minorHAnsi" w:cs="Times New Roman"/>
          <w:sz w:val="22"/>
          <w:szCs w:val="22"/>
          <w:lang w:val="uk-UA"/>
        </w:rPr>
        <w:t>”</w:t>
      </w:r>
      <w:proofErr w:type="spellEnd"/>
      <w:r w:rsidRPr="00E37E93">
        <w:rPr>
          <w:rFonts w:asciiTheme="minorHAnsi" w:hAnsiTheme="minorHAnsi" w:cs="Times New Roman"/>
          <w:sz w:val="22"/>
          <w:szCs w:val="22"/>
          <w:lang w:val="uk-UA"/>
        </w:rPr>
        <w:t xml:space="preserve"> (</w:t>
      </w:r>
      <w:proofErr w:type="spellStart"/>
      <w:r w:rsidRPr="00E37E93">
        <w:rPr>
          <w:rFonts w:asciiTheme="minorHAnsi" w:hAnsiTheme="minorHAnsi" w:cs="Times New Roman"/>
          <w:sz w:val="22"/>
          <w:szCs w:val="22"/>
          <w:lang w:val="en-US"/>
        </w:rPr>
        <w:t>EPAIU</w:t>
      </w:r>
      <w:proofErr w:type="spellEnd"/>
      <w:r w:rsidRPr="00E37E93">
        <w:rPr>
          <w:rFonts w:asciiTheme="minorHAnsi" w:hAnsiTheme="minorHAnsi" w:cs="Times New Roman"/>
          <w:sz w:val="22"/>
          <w:szCs w:val="22"/>
          <w:lang w:val="uk-UA"/>
        </w:rPr>
        <w:t>) за підтримки Швеції.</w:t>
      </w:r>
    </w:p>
    <w:p w:rsidR="00361B9E" w:rsidRPr="00E37E93" w:rsidRDefault="00361B9E" w:rsidP="00361B9E">
      <w:pPr>
        <w:pStyle w:val="a3"/>
        <w:spacing w:before="0" w:beforeAutospacing="0" w:after="0" w:afterAutospacing="0" w:line="288" w:lineRule="auto"/>
        <w:jc w:val="both"/>
        <w:rPr>
          <w:rFonts w:asciiTheme="minorHAnsi" w:hAnsiTheme="minorHAnsi" w:cs="Times New Roman"/>
          <w:sz w:val="22"/>
          <w:szCs w:val="22"/>
          <w:lang w:val="uk-UA"/>
        </w:rPr>
      </w:pPr>
    </w:p>
    <w:p w:rsidR="00F44D90" w:rsidRDefault="00F44D90" w:rsidP="00361B9E">
      <w:pPr>
        <w:pStyle w:val="a3"/>
        <w:spacing w:before="0" w:beforeAutospacing="0" w:after="0" w:afterAutospacing="0" w:line="288" w:lineRule="auto"/>
        <w:jc w:val="both"/>
        <w:rPr>
          <w:rFonts w:asciiTheme="minorHAnsi" w:hAnsiTheme="minorHAnsi"/>
          <w:sz w:val="22"/>
          <w:szCs w:val="22"/>
          <w:lang w:val="uk-UA"/>
        </w:rPr>
      </w:pPr>
      <w:r w:rsidRPr="00E37E93">
        <w:rPr>
          <w:rFonts w:asciiTheme="minorHAnsi" w:hAnsiTheme="minorHAnsi" w:cs="Times New Roman"/>
          <w:sz w:val="22"/>
          <w:szCs w:val="22"/>
          <w:lang w:val="uk-UA"/>
        </w:rPr>
        <w:t>Ініціатива має на меті сприяння сталому розвитку України через поширення</w:t>
      </w:r>
      <w:r w:rsidRPr="00E37E93">
        <w:rPr>
          <w:rFonts w:asciiTheme="minorHAnsi" w:hAnsiTheme="minorHAnsi"/>
          <w:sz w:val="22"/>
          <w:szCs w:val="22"/>
          <w:lang w:val="uk-UA"/>
        </w:rPr>
        <w:t xml:space="preserve"> </w:t>
      </w:r>
      <w:r w:rsidRPr="00E37E93">
        <w:rPr>
          <w:rFonts w:asciiTheme="minorHAnsi" w:hAnsiTheme="minorHAnsi"/>
          <w:i/>
          <w:sz w:val="22"/>
          <w:szCs w:val="22"/>
          <w:lang w:val="uk-UA"/>
        </w:rPr>
        <w:t>екологічного мислення</w:t>
      </w:r>
      <w:r w:rsidRPr="00E37E93">
        <w:rPr>
          <w:rFonts w:asciiTheme="minorHAnsi" w:hAnsiTheme="minorHAnsi"/>
          <w:sz w:val="22"/>
          <w:szCs w:val="22"/>
          <w:lang w:val="uk-UA"/>
        </w:rPr>
        <w:t xml:space="preserve"> і зростання поінформованого суспільного попиту на політики і практики, дружні до довкілля; впровадження </w:t>
      </w:r>
      <w:r w:rsidRPr="00E37E93">
        <w:rPr>
          <w:rFonts w:asciiTheme="minorHAnsi" w:hAnsiTheme="minorHAnsi"/>
          <w:i/>
          <w:sz w:val="22"/>
          <w:szCs w:val="22"/>
          <w:lang w:val="uk-UA"/>
        </w:rPr>
        <w:t>логіки сталого розвитку</w:t>
      </w:r>
      <w:r w:rsidRPr="00E37E93">
        <w:rPr>
          <w:rFonts w:asciiTheme="minorHAnsi" w:hAnsiTheme="minorHAnsi"/>
          <w:sz w:val="22"/>
          <w:szCs w:val="22"/>
          <w:lang w:val="uk-UA"/>
        </w:rPr>
        <w:t xml:space="preserve"> </w:t>
      </w:r>
      <w:r w:rsidRPr="00E37E93">
        <w:rPr>
          <w:rFonts w:asciiTheme="minorHAnsi" w:hAnsiTheme="minorHAnsi"/>
          <w:i/>
          <w:sz w:val="22"/>
          <w:szCs w:val="22"/>
          <w:lang w:val="uk-UA"/>
        </w:rPr>
        <w:t>та екологічних стандартів</w:t>
      </w:r>
      <w:r w:rsidRPr="00E37E93">
        <w:rPr>
          <w:rFonts w:asciiTheme="minorHAnsi" w:hAnsiTheme="minorHAnsi"/>
          <w:sz w:val="22"/>
          <w:szCs w:val="22"/>
          <w:lang w:val="uk-UA"/>
        </w:rPr>
        <w:t xml:space="preserve"> у процеси вироблення політик і публічний дискурс; підтримку якісної та </w:t>
      </w:r>
      <w:r w:rsidRPr="00E37E93">
        <w:rPr>
          <w:rFonts w:asciiTheme="minorHAnsi" w:hAnsiTheme="minorHAnsi"/>
          <w:i/>
          <w:sz w:val="22"/>
          <w:szCs w:val="22"/>
          <w:lang w:val="uk-UA"/>
        </w:rPr>
        <w:t>незалежної екологічної експертизи</w:t>
      </w:r>
      <w:r w:rsidRPr="00E37E93">
        <w:rPr>
          <w:rFonts w:asciiTheme="minorHAnsi" w:hAnsiTheme="minorHAnsi"/>
          <w:sz w:val="22"/>
          <w:szCs w:val="22"/>
          <w:lang w:val="uk-UA"/>
        </w:rPr>
        <w:t xml:space="preserve">; зміцнення екологічного руху через підтримку нових, інституційно потужних громадських ініціатив, які визначають екологію та сталий розвиток серед своїх стратегічних пріоритетів; сприяння становленню </w:t>
      </w:r>
      <w:r w:rsidRPr="00E37E93">
        <w:rPr>
          <w:rFonts w:asciiTheme="minorHAnsi" w:hAnsiTheme="minorHAnsi"/>
          <w:i/>
          <w:sz w:val="22"/>
          <w:szCs w:val="22"/>
          <w:lang w:val="uk-UA"/>
        </w:rPr>
        <w:t xml:space="preserve">екологічно й </w:t>
      </w:r>
      <w:proofErr w:type="spellStart"/>
      <w:r w:rsidRPr="00E37E93">
        <w:rPr>
          <w:rFonts w:asciiTheme="minorHAnsi" w:hAnsiTheme="minorHAnsi"/>
          <w:i/>
          <w:sz w:val="22"/>
          <w:szCs w:val="22"/>
          <w:lang w:val="uk-UA"/>
        </w:rPr>
        <w:t>інклюзивно</w:t>
      </w:r>
      <w:proofErr w:type="spellEnd"/>
      <w:r w:rsidRPr="00E37E93">
        <w:rPr>
          <w:rFonts w:asciiTheme="minorHAnsi" w:hAnsiTheme="minorHAnsi"/>
          <w:i/>
          <w:sz w:val="22"/>
          <w:szCs w:val="22"/>
          <w:lang w:val="uk-UA"/>
        </w:rPr>
        <w:t xml:space="preserve"> мислячої більшості</w:t>
      </w:r>
      <w:r w:rsidRPr="00E37E93">
        <w:rPr>
          <w:rFonts w:asciiTheme="minorHAnsi" w:hAnsiTheme="minorHAnsi"/>
          <w:sz w:val="22"/>
          <w:szCs w:val="22"/>
          <w:lang w:val="uk-UA"/>
        </w:rPr>
        <w:t>, яка допоможе досягти якісно нової практики впровадження екологічної політики на всіх рівнях.</w:t>
      </w:r>
    </w:p>
    <w:p w:rsidR="00361B9E" w:rsidRPr="00E37E93" w:rsidRDefault="00361B9E" w:rsidP="00361B9E">
      <w:pPr>
        <w:pStyle w:val="a3"/>
        <w:spacing w:before="0" w:beforeAutospacing="0" w:after="0" w:afterAutospacing="0" w:line="288" w:lineRule="auto"/>
        <w:jc w:val="both"/>
        <w:rPr>
          <w:rFonts w:asciiTheme="minorHAnsi" w:hAnsiTheme="minorHAnsi" w:cs="Times New Roman"/>
          <w:sz w:val="22"/>
          <w:szCs w:val="22"/>
          <w:lang w:val="uk-UA"/>
        </w:rPr>
      </w:pPr>
    </w:p>
    <w:p w:rsidR="00361B9E" w:rsidRDefault="00F44D90" w:rsidP="00361B9E">
      <w:pPr>
        <w:spacing w:after="0" w:line="288" w:lineRule="auto"/>
        <w:jc w:val="both"/>
      </w:pPr>
      <w:r w:rsidRPr="00E37E93">
        <w:t xml:space="preserve">Основне завдання Ініціативи </w:t>
      </w:r>
      <w:proofErr w:type="spellStart"/>
      <w:r w:rsidRPr="00E37E93">
        <w:rPr>
          <w:rFonts w:cs="Times New Roman"/>
          <w:lang w:val="en-US"/>
        </w:rPr>
        <w:t>EPAIU</w:t>
      </w:r>
      <w:proofErr w:type="spellEnd"/>
      <w:r w:rsidRPr="00E37E93">
        <w:rPr>
          <w:rFonts w:cs="Times New Roman"/>
        </w:rPr>
        <w:t xml:space="preserve"> </w:t>
      </w:r>
      <w:r w:rsidRPr="00E37E93">
        <w:t>– це організаційний розвиток (в т.ч. і розвиток фінансового менеджменту) інституцій громадянського суспільства (</w:t>
      </w:r>
      <w:proofErr w:type="spellStart"/>
      <w:r w:rsidRPr="00E37E93">
        <w:t>ІГС</w:t>
      </w:r>
      <w:proofErr w:type="spellEnd"/>
      <w:r w:rsidRPr="00E37E93">
        <w:t xml:space="preserve">), </w:t>
      </w:r>
      <w:r w:rsidRPr="00E37E93">
        <w:rPr>
          <w:rFonts w:eastAsia="Times New Roman" w:cs="Times New Roman"/>
          <w:lang w:eastAsia="uk-UA"/>
        </w:rPr>
        <w:t xml:space="preserve">діяльність яких пов’язана з екологічними питаннями. </w:t>
      </w:r>
      <w:r w:rsidR="00132C83" w:rsidRPr="00E37E93">
        <w:rPr>
          <w:rFonts w:eastAsia="Times New Roman" w:cs="Times New Roman"/>
          <w:lang w:eastAsia="uk-UA"/>
        </w:rPr>
        <w:t>Організації-учасниці</w:t>
      </w:r>
      <w:r w:rsidRPr="00E37E93">
        <w:rPr>
          <w:rFonts w:eastAsia="Times New Roman" w:cs="Times New Roman"/>
          <w:lang w:eastAsia="uk-UA"/>
        </w:rPr>
        <w:t xml:space="preserve"> </w:t>
      </w:r>
      <w:proofErr w:type="spellStart"/>
      <w:r w:rsidR="00132C83" w:rsidRPr="00E37E93">
        <w:rPr>
          <w:rFonts w:cs="Times New Roman"/>
          <w:lang w:val="en-US"/>
        </w:rPr>
        <w:t>EPAIU</w:t>
      </w:r>
      <w:proofErr w:type="spellEnd"/>
      <w:r w:rsidR="00132C83" w:rsidRPr="00E37E93">
        <w:rPr>
          <w:rFonts w:cs="Times New Roman"/>
        </w:rPr>
        <w:t xml:space="preserve"> – </w:t>
      </w:r>
      <w:r w:rsidR="00132C83" w:rsidRPr="00E37E93">
        <w:rPr>
          <w:rFonts w:eastAsia="Times New Roman" w:cs="Times New Roman"/>
          <w:i/>
          <w:lang w:eastAsia="uk-UA"/>
        </w:rPr>
        <w:t>громадські організації, громадські спілки, благодійні фонди</w:t>
      </w:r>
      <w:r w:rsidR="00132C83" w:rsidRPr="00E37E93">
        <w:rPr>
          <w:rFonts w:eastAsia="Times New Roman" w:cs="Times New Roman"/>
          <w:lang w:eastAsia="uk-UA"/>
        </w:rPr>
        <w:t xml:space="preserve"> – </w:t>
      </w:r>
      <w:r w:rsidR="00132C83" w:rsidRPr="00E37E93">
        <w:rPr>
          <w:rFonts w:cs="Times New Roman"/>
        </w:rPr>
        <w:t>обиратимуться поетапно в межах відкритого конкурсу</w:t>
      </w:r>
      <w:r w:rsidR="002C2E17">
        <w:rPr>
          <w:rFonts w:cs="Times New Roman"/>
        </w:rPr>
        <w:t xml:space="preserve"> серед аплікантів з усіх регіонів України</w:t>
      </w:r>
      <w:r w:rsidR="00132C83" w:rsidRPr="00E37E93">
        <w:rPr>
          <w:rFonts w:cs="Times New Roman"/>
        </w:rPr>
        <w:t xml:space="preserve">. </w:t>
      </w:r>
      <w:r w:rsidRPr="00E37E93">
        <w:t xml:space="preserve">На першому етапі конкурсу буде відібрано </w:t>
      </w:r>
      <w:r w:rsidRPr="001D5A17">
        <w:rPr>
          <w:u w:val="single"/>
        </w:rPr>
        <w:t xml:space="preserve">орієнтовно </w:t>
      </w:r>
      <w:r w:rsidR="00132C83" w:rsidRPr="001D5A17">
        <w:rPr>
          <w:u w:val="single"/>
        </w:rPr>
        <w:t xml:space="preserve">до </w:t>
      </w:r>
      <w:r w:rsidRPr="001D5A17">
        <w:rPr>
          <w:u w:val="single"/>
        </w:rPr>
        <w:t xml:space="preserve">25 </w:t>
      </w:r>
      <w:proofErr w:type="spellStart"/>
      <w:r w:rsidR="00132C83" w:rsidRPr="001D5A17">
        <w:rPr>
          <w:u w:val="single"/>
        </w:rPr>
        <w:t>ІГС</w:t>
      </w:r>
      <w:proofErr w:type="spellEnd"/>
      <w:r w:rsidR="00132C83" w:rsidRPr="00E37E93">
        <w:t>, фінансовий аудит яких і замовляє здійснити МФВ.</w:t>
      </w:r>
      <w:r w:rsidR="00361B9E">
        <w:t xml:space="preserve"> </w:t>
      </w:r>
    </w:p>
    <w:p w:rsidR="00361B9E" w:rsidRDefault="00361B9E" w:rsidP="00361B9E">
      <w:pPr>
        <w:spacing w:after="0" w:line="288" w:lineRule="auto"/>
        <w:jc w:val="both"/>
      </w:pPr>
    </w:p>
    <w:p w:rsidR="00361B9E" w:rsidRDefault="00361B9E" w:rsidP="00361B9E">
      <w:pPr>
        <w:spacing w:after="0" w:line="288" w:lineRule="auto"/>
        <w:jc w:val="both"/>
      </w:pPr>
      <w:r>
        <w:t>Список організацій, в яких буде проводитися аудит, буде відомий після 21.03.2019 р., за результатами першого етапу конкурсу «</w:t>
      </w:r>
      <w:r w:rsidRPr="00E62EAF">
        <w:t>Підвищення організаційної спроможності інститутів громадянського суспільства, які працюють в екологічній сфері</w:t>
      </w:r>
      <w:r>
        <w:t xml:space="preserve">». </w:t>
      </w:r>
    </w:p>
    <w:p w:rsidR="00361B9E" w:rsidRPr="00E37E93" w:rsidRDefault="00361B9E" w:rsidP="00361B9E">
      <w:pPr>
        <w:spacing w:after="0" w:line="288" w:lineRule="auto"/>
        <w:jc w:val="both"/>
      </w:pPr>
    </w:p>
    <w:p w:rsidR="006B2B61" w:rsidRPr="00E37E93" w:rsidRDefault="006B2B61" w:rsidP="00F44D90">
      <w:pPr>
        <w:jc w:val="both"/>
      </w:pPr>
      <w:r w:rsidRPr="00E37E93">
        <w:t>Оскільки очікується, що серед організацій-переможців конкурсу будуть організації різного віку</w:t>
      </w:r>
      <w:r w:rsidR="00437BB2" w:rsidRPr="00E37E93">
        <w:t xml:space="preserve">, </w:t>
      </w:r>
      <w:r w:rsidRPr="00E37E93">
        <w:t xml:space="preserve">з різним досвідом діяльності, </w:t>
      </w:r>
      <w:r w:rsidR="00437BB2" w:rsidRPr="00E37E93">
        <w:t xml:space="preserve">різною </w:t>
      </w:r>
      <w:r w:rsidRPr="00E37E93">
        <w:t>грантово</w:t>
      </w:r>
      <w:r w:rsidR="00437BB2" w:rsidRPr="00E37E93">
        <w:t>ю історією</w:t>
      </w:r>
      <w:r w:rsidRPr="00E37E93">
        <w:t>,</w:t>
      </w:r>
      <w:r w:rsidR="00437BB2" w:rsidRPr="00E37E93">
        <w:t xml:space="preserve"> </w:t>
      </w:r>
      <w:r w:rsidR="001D5A17">
        <w:t>а також такі</w:t>
      </w:r>
      <w:r w:rsidR="00437BB2" w:rsidRPr="00E37E93">
        <w:t xml:space="preserve">, що не мали раніше досвіду  співпраці з МФВ, </w:t>
      </w:r>
      <w:r w:rsidRPr="00E37E93">
        <w:t xml:space="preserve"> то </w:t>
      </w:r>
      <w:r w:rsidRPr="00936BC0">
        <w:rPr>
          <w:b/>
        </w:rPr>
        <w:t>завдання фінансового аудиту</w:t>
      </w:r>
      <w:r w:rsidRPr="00E37E93">
        <w:t xml:space="preserve"> на початковому етапі </w:t>
      </w:r>
      <w:r w:rsidR="001D5A17">
        <w:t>зводитимуться до такого</w:t>
      </w:r>
      <w:r w:rsidRPr="00E37E93">
        <w:t>:</w:t>
      </w:r>
    </w:p>
    <w:p w:rsidR="0011135A" w:rsidRPr="00E37E93" w:rsidRDefault="0011135A" w:rsidP="0011135A">
      <w:pPr>
        <w:pStyle w:val="a5"/>
        <w:numPr>
          <w:ilvl w:val="0"/>
          <w:numId w:val="2"/>
        </w:numPr>
        <w:spacing w:after="0" w:line="288" w:lineRule="auto"/>
        <w:jc w:val="both"/>
      </w:pPr>
      <w:r w:rsidRPr="00E37E93">
        <w:t>Здійснення детального аналізу системи фінансового менеджменту організації, до якого вход</w:t>
      </w:r>
      <w:r w:rsidR="00B95F58" w:rsidRPr="00E37E93">
        <w:t>и</w:t>
      </w:r>
      <w:r w:rsidRPr="00E37E93">
        <w:t>ть аналіз наявних фінансових процедур і політик організації</w:t>
      </w:r>
      <w:r w:rsidR="00EC6361" w:rsidRPr="00E37E93">
        <w:t>, системи бухгалтерського обліку</w:t>
      </w:r>
      <w:r w:rsidR="00B95F58" w:rsidRPr="00E37E93">
        <w:t>,</w:t>
      </w:r>
      <w:r w:rsidRPr="00E37E93">
        <w:t xml:space="preserve"> системи внутрішнього фінансового контролю</w:t>
      </w:r>
      <w:r w:rsidR="00B95F58" w:rsidRPr="00E37E93">
        <w:t xml:space="preserve">, </w:t>
      </w:r>
      <w:r w:rsidR="00246180" w:rsidRPr="00E37E93">
        <w:t>документообіг</w:t>
      </w:r>
      <w:r w:rsidR="00517698" w:rsidRPr="00E37E93">
        <w:t>у</w:t>
      </w:r>
      <w:r w:rsidR="00246180" w:rsidRPr="00E37E93">
        <w:t xml:space="preserve"> щодо фінансової діяльності організації</w:t>
      </w:r>
      <w:r w:rsidR="00EC6361" w:rsidRPr="00E37E93">
        <w:t>.</w:t>
      </w:r>
    </w:p>
    <w:p w:rsidR="00B95F58" w:rsidRPr="00E37E93" w:rsidRDefault="00B95F58" w:rsidP="0011135A">
      <w:pPr>
        <w:pStyle w:val="a5"/>
        <w:numPr>
          <w:ilvl w:val="0"/>
          <w:numId w:val="2"/>
        </w:numPr>
        <w:spacing w:after="0" w:line="288" w:lineRule="auto"/>
        <w:jc w:val="both"/>
      </w:pPr>
      <w:r w:rsidRPr="00E37E93">
        <w:t>Оцінка</w:t>
      </w:r>
      <w:r w:rsidRPr="00E37E93">
        <w:t xml:space="preserve"> відповідн</w:t>
      </w:r>
      <w:r w:rsidRPr="00E37E93">
        <w:t>ості</w:t>
      </w:r>
      <w:r w:rsidRPr="00E37E93">
        <w:t xml:space="preserve"> діяльності</w:t>
      </w:r>
      <w:r w:rsidRPr="00E37E93">
        <w:t xml:space="preserve"> організації</w:t>
      </w:r>
      <w:r w:rsidRPr="00E37E93">
        <w:t xml:space="preserve"> та </w:t>
      </w:r>
      <w:r w:rsidRPr="00E37E93">
        <w:t xml:space="preserve">її </w:t>
      </w:r>
      <w:r w:rsidRPr="00E37E93">
        <w:t xml:space="preserve">бухгалтерського обліку </w:t>
      </w:r>
      <w:r w:rsidRPr="00E37E93">
        <w:t>до</w:t>
      </w:r>
      <w:r w:rsidRPr="00E37E93">
        <w:t xml:space="preserve"> законодавства</w:t>
      </w:r>
      <w:r w:rsidRPr="00E37E93">
        <w:t xml:space="preserve"> України</w:t>
      </w:r>
      <w:r w:rsidRPr="00E37E93">
        <w:t>, включаючи податкове законодавств</w:t>
      </w:r>
      <w:r w:rsidRPr="00E37E93">
        <w:t>о</w:t>
      </w:r>
      <w:r w:rsidRPr="00E37E93">
        <w:t xml:space="preserve"> та правила з регулювання діяльності </w:t>
      </w:r>
      <w:proofErr w:type="spellStart"/>
      <w:r w:rsidRPr="00E37E93">
        <w:t>ІГС</w:t>
      </w:r>
      <w:proofErr w:type="spellEnd"/>
      <w:r w:rsidRPr="00E37E93">
        <w:t>.</w:t>
      </w:r>
    </w:p>
    <w:p w:rsidR="00246180" w:rsidRPr="00E37E93" w:rsidRDefault="00246180" w:rsidP="0011135A">
      <w:pPr>
        <w:pStyle w:val="a5"/>
        <w:numPr>
          <w:ilvl w:val="0"/>
          <w:numId w:val="2"/>
        </w:numPr>
        <w:spacing w:after="0" w:line="288" w:lineRule="auto"/>
        <w:jc w:val="both"/>
      </w:pPr>
      <w:r w:rsidRPr="00E37E93">
        <w:t xml:space="preserve">Оцінка ефективності </w:t>
      </w:r>
      <w:r w:rsidRPr="00E37E93">
        <w:t xml:space="preserve">ведення ділової </w:t>
      </w:r>
      <w:r w:rsidRPr="00E37E93">
        <w:t xml:space="preserve">діяльності </w:t>
      </w:r>
      <w:r w:rsidRPr="00E37E93">
        <w:t>та</w:t>
      </w:r>
      <w:r w:rsidRPr="00E37E93">
        <w:t xml:space="preserve"> </w:t>
      </w:r>
      <w:r w:rsidRPr="00E37E93">
        <w:t>використання фінансових ресурсів</w:t>
      </w:r>
      <w:r w:rsidRPr="00E37E93">
        <w:t xml:space="preserve"> організації.</w:t>
      </w:r>
    </w:p>
    <w:p w:rsidR="00517698" w:rsidRPr="00E37E93" w:rsidRDefault="00517698" w:rsidP="00517698">
      <w:pPr>
        <w:pStyle w:val="a5"/>
        <w:numPr>
          <w:ilvl w:val="0"/>
          <w:numId w:val="2"/>
        </w:numPr>
        <w:jc w:val="both"/>
      </w:pPr>
      <w:r w:rsidRPr="00E37E93">
        <w:t xml:space="preserve">Аналіз </w:t>
      </w:r>
      <w:r w:rsidRPr="00E37E93">
        <w:t>системи внутрішнього контролю</w:t>
      </w:r>
      <w:r w:rsidRPr="00E37E93">
        <w:t xml:space="preserve"> організації </w:t>
      </w:r>
      <w:r w:rsidRPr="00E37E93">
        <w:t>та оцінки ризик</w:t>
      </w:r>
      <w:r w:rsidRPr="00E37E93">
        <w:t>ів</w:t>
      </w:r>
      <w:r w:rsidRPr="00E37E93">
        <w:t xml:space="preserve"> контролю</w:t>
      </w:r>
      <w:r w:rsidRPr="00E37E93">
        <w:t>, зазначення</w:t>
      </w:r>
      <w:r w:rsidRPr="00E37E93">
        <w:t xml:space="preserve"> виявлен</w:t>
      </w:r>
      <w:r w:rsidRPr="00E37E93">
        <w:t xml:space="preserve">их </w:t>
      </w:r>
      <w:r w:rsidRPr="00E37E93">
        <w:t>недолік</w:t>
      </w:r>
      <w:r w:rsidRPr="00E37E93">
        <w:t>ів включно з такими</w:t>
      </w:r>
      <w:r w:rsidRPr="00E37E93">
        <w:t xml:space="preserve">, </w:t>
      </w:r>
      <w:r w:rsidRPr="00E37E93">
        <w:t>що</w:t>
      </w:r>
      <w:r w:rsidRPr="00E37E93">
        <w:t xml:space="preserve"> мають вплив на фінансову звітність.</w:t>
      </w:r>
    </w:p>
    <w:p w:rsidR="00B95F58" w:rsidRPr="00E37E93" w:rsidRDefault="00B95F58" w:rsidP="00B95F58">
      <w:pPr>
        <w:pStyle w:val="a5"/>
        <w:numPr>
          <w:ilvl w:val="0"/>
          <w:numId w:val="2"/>
        </w:numPr>
        <w:spacing w:after="0" w:line="288" w:lineRule="auto"/>
        <w:jc w:val="both"/>
      </w:pPr>
      <w:r w:rsidRPr="00E37E93">
        <w:lastRenderedPageBreak/>
        <w:t xml:space="preserve">Перевірка наявності і коректності фінансової діяльності за 2018 рік та комплекту </w:t>
      </w:r>
      <w:r w:rsidRPr="00E37E93">
        <w:t>фінансов</w:t>
      </w:r>
      <w:r w:rsidRPr="00E37E93">
        <w:t>ої звітності - баланс</w:t>
      </w:r>
      <w:r w:rsidRPr="00E37E93">
        <w:t xml:space="preserve"> станом на 01 січня 201</w:t>
      </w:r>
      <w:r w:rsidRPr="00E37E93">
        <w:t>9</w:t>
      </w:r>
      <w:r w:rsidRPr="00E37E93">
        <w:t xml:space="preserve"> року</w:t>
      </w:r>
      <w:r w:rsidRPr="00E37E93">
        <w:t xml:space="preserve">. Надання </w:t>
      </w:r>
      <w:r w:rsidRPr="00E37E93">
        <w:rPr>
          <w:color w:val="000000"/>
          <w:spacing w:val="1"/>
        </w:rPr>
        <w:t>аудиторськ</w:t>
      </w:r>
      <w:r w:rsidRPr="00E37E93">
        <w:rPr>
          <w:color w:val="000000"/>
          <w:spacing w:val="1"/>
        </w:rPr>
        <w:t>ого</w:t>
      </w:r>
      <w:r w:rsidRPr="00E37E93">
        <w:rPr>
          <w:color w:val="000000"/>
          <w:spacing w:val="1"/>
        </w:rPr>
        <w:t xml:space="preserve"> виснов</w:t>
      </w:r>
      <w:r w:rsidRPr="00E37E93">
        <w:rPr>
          <w:color w:val="000000"/>
          <w:spacing w:val="1"/>
        </w:rPr>
        <w:t xml:space="preserve">ку </w:t>
      </w:r>
      <w:r w:rsidRPr="00E37E93">
        <w:t>стосовно то</w:t>
      </w:r>
      <w:r w:rsidRPr="00E37E93">
        <w:t>го, чи дає фінансова звітність о</w:t>
      </w:r>
      <w:r w:rsidRPr="00E37E93">
        <w:t>рганізації належне об’єктивне</w:t>
      </w:r>
      <w:r w:rsidRPr="00E37E93">
        <w:t xml:space="preserve"> представлення </w:t>
      </w:r>
      <w:r w:rsidR="001D5A17">
        <w:t>фінансового становища о</w:t>
      </w:r>
      <w:r w:rsidRPr="00E37E93">
        <w:t>рганізації станом на 01 січня 201</w:t>
      </w:r>
      <w:r w:rsidRPr="00E37E93">
        <w:t>9</w:t>
      </w:r>
      <w:r w:rsidRPr="00E37E93">
        <w:t xml:space="preserve"> року та зміни її чистих активів за </w:t>
      </w:r>
      <w:r w:rsidRPr="00E37E93">
        <w:t xml:space="preserve">2018 </w:t>
      </w:r>
      <w:r w:rsidRPr="00E37E93">
        <w:t>рік</w:t>
      </w:r>
      <w:r w:rsidRPr="00E37E93">
        <w:t>.</w:t>
      </w:r>
    </w:p>
    <w:p w:rsidR="00B95F58" w:rsidRPr="00E37E93" w:rsidRDefault="00B95F58" w:rsidP="00EC6361">
      <w:pPr>
        <w:pStyle w:val="a5"/>
        <w:numPr>
          <w:ilvl w:val="0"/>
          <w:numId w:val="2"/>
        </w:numPr>
        <w:jc w:val="both"/>
      </w:pPr>
      <w:r w:rsidRPr="00E37E93">
        <w:t xml:space="preserve">Якщо в організації відбувалися раніше фінансові аудити, перевірити, яких заходів було вжито організацією для усунення виявлених недоліків, </w:t>
      </w:r>
      <w:r w:rsidRPr="00E37E93">
        <w:t xml:space="preserve">чи </w:t>
      </w:r>
      <w:r w:rsidRPr="00E37E93">
        <w:t xml:space="preserve">були ці </w:t>
      </w:r>
      <w:r w:rsidRPr="00E37E93">
        <w:t xml:space="preserve">заходи адекватними </w:t>
      </w:r>
      <w:r w:rsidRPr="00E37E93">
        <w:t xml:space="preserve">до висновків попередніх </w:t>
      </w:r>
      <w:r w:rsidRPr="00E37E93">
        <w:t>аудиторських звіт</w:t>
      </w:r>
      <w:r w:rsidRPr="00E37E93">
        <w:t>ів</w:t>
      </w:r>
      <w:r w:rsidRPr="00E37E93">
        <w:t>.</w:t>
      </w:r>
    </w:p>
    <w:p w:rsidR="001D5A17" w:rsidRPr="00DE6150" w:rsidRDefault="003808EA" w:rsidP="001D5A17">
      <w:pPr>
        <w:ind w:left="360"/>
        <w:jc w:val="both"/>
        <w:rPr>
          <w:b/>
        </w:rPr>
      </w:pPr>
      <w:r w:rsidRPr="00DE6150">
        <w:rPr>
          <w:b/>
        </w:rPr>
        <w:t xml:space="preserve">Проведення аудиту має відповісти на </w:t>
      </w:r>
      <w:r w:rsidR="001D5A17" w:rsidRPr="00DE6150">
        <w:rPr>
          <w:b/>
        </w:rPr>
        <w:t xml:space="preserve">такі </w:t>
      </w:r>
      <w:r w:rsidRPr="00DE6150">
        <w:rPr>
          <w:b/>
        </w:rPr>
        <w:t>питання</w:t>
      </w:r>
      <w:r w:rsidR="001D5A17" w:rsidRPr="00DE6150">
        <w:rPr>
          <w:b/>
        </w:rPr>
        <w:t>:</w:t>
      </w:r>
    </w:p>
    <w:p w:rsidR="001D5A17" w:rsidRPr="001D5A17" w:rsidRDefault="003808EA" w:rsidP="001D5A17">
      <w:pPr>
        <w:pStyle w:val="a5"/>
        <w:numPr>
          <w:ilvl w:val="1"/>
          <w:numId w:val="9"/>
        </w:numPr>
        <w:jc w:val="both"/>
      </w:pPr>
      <w:r w:rsidRPr="00E37E93">
        <w:t xml:space="preserve">наскільки організація відповідає </w:t>
      </w:r>
      <w:r w:rsidR="006169DF" w:rsidRPr="00E37E93">
        <w:t xml:space="preserve">на базовому рівні </w:t>
      </w:r>
      <w:r w:rsidRPr="001D5A17">
        <w:t>критеріям організаційного розвитку</w:t>
      </w:r>
      <w:r w:rsidR="006169DF" w:rsidRPr="001D5A17">
        <w:t xml:space="preserve"> у складовій фінансового менеджменту</w:t>
      </w:r>
      <w:r w:rsidR="001D5A17">
        <w:t xml:space="preserve"> </w:t>
      </w:r>
      <w:r w:rsidR="001D5A17" w:rsidRPr="00E37E93">
        <w:t>(критерії зазначено у таблиці нижче)</w:t>
      </w:r>
      <w:r w:rsidR="001D5A17">
        <w:t>?</w:t>
      </w:r>
    </w:p>
    <w:p w:rsidR="006B3E92" w:rsidRDefault="006169DF" w:rsidP="001D5A17">
      <w:pPr>
        <w:pStyle w:val="a5"/>
        <w:numPr>
          <w:ilvl w:val="1"/>
          <w:numId w:val="9"/>
        </w:numPr>
        <w:jc w:val="both"/>
      </w:pPr>
      <w:r w:rsidRPr="00E37E93">
        <w:t xml:space="preserve">що бракує </w:t>
      </w:r>
      <w:r w:rsidR="001D5A17">
        <w:t xml:space="preserve">організації </w:t>
      </w:r>
      <w:r w:rsidRPr="00E37E93">
        <w:t>для готовності до отримання підготовчого малого інституційного гранту</w:t>
      </w:r>
      <w:r w:rsidR="001D5A17">
        <w:t>?</w:t>
      </w:r>
    </w:p>
    <w:p w:rsidR="001D5A17" w:rsidRPr="00DE6150" w:rsidRDefault="001D5A17" w:rsidP="001D5A17">
      <w:pPr>
        <w:jc w:val="center"/>
        <w:rPr>
          <w:b/>
        </w:rPr>
      </w:pPr>
      <w:r w:rsidRPr="00DE6150">
        <w:rPr>
          <w:b/>
        </w:rPr>
        <w:t>Критерії організаційного розвитку: фінансовий менеджмент</w:t>
      </w:r>
    </w:p>
    <w:tbl>
      <w:tblPr>
        <w:tblW w:w="922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81"/>
        <w:gridCol w:w="1957"/>
        <w:gridCol w:w="2409"/>
        <w:gridCol w:w="2976"/>
      </w:tblGrid>
      <w:tr w:rsidR="009A7064" w:rsidRPr="00E37E93" w:rsidTr="001D5A17">
        <w:trPr>
          <w:trHeight w:val="1338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437BB2" w:rsidP="00437BB2">
            <w:pPr>
              <w:pStyle w:val="Normal1"/>
              <w:spacing w:after="120" w:line="240" w:lineRule="auto"/>
              <w:jc w:val="center"/>
              <w:rPr>
                <w:rFonts w:asciiTheme="minorHAnsi" w:eastAsia="Times New Roman" w:hAnsiTheme="minorHAnsi" w:cs="Times New Roman"/>
                <w:b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Розділ</w:t>
            </w:r>
          </w:p>
        </w:tc>
        <w:tc>
          <w:tcPr>
            <w:tcW w:w="1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1D5A17" w:rsidP="00437BB2">
            <w:pPr>
              <w:pStyle w:val="Normal1"/>
              <w:spacing w:after="120" w:line="240" w:lineRule="auto"/>
              <w:jc w:val="center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Критерії / Вимоги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437BB2">
            <w:pPr>
              <w:pStyle w:val="Normal1"/>
              <w:spacing w:after="120" w:line="240" w:lineRule="auto"/>
              <w:jc w:val="center"/>
              <w:rPr>
                <w:rFonts w:asciiTheme="minorHAnsi" w:eastAsia="Times New Roman" w:hAnsiTheme="minorHAnsi" w:cs="Times New Roman"/>
                <w:b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«ОБОВ’ЯЗКОВО»</w:t>
            </w:r>
          </w:p>
          <w:p w:rsidR="009A7064" w:rsidRPr="00E37E93" w:rsidRDefault="009A7064" w:rsidP="00437BB2">
            <w:pPr>
              <w:pStyle w:val="Normal1"/>
              <w:spacing w:after="120" w:line="240" w:lineRule="auto"/>
              <w:jc w:val="center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для отримання підготовчого малого інституційного гранту</w:t>
            </w:r>
          </w:p>
        </w:tc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3808EA" w:rsidP="00437BB2">
            <w:pPr>
              <w:pStyle w:val="Normal1"/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Базові п</w:t>
            </w:r>
            <w:r w:rsidR="009A7064"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ідтверджуючі документи</w:t>
            </w:r>
            <w:r w:rsidR="00437BB2"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 xml:space="preserve"> для перевірки</w:t>
            </w:r>
          </w:p>
        </w:tc>
      </w:tr>
      <w:tr w:rsidR="009A7064" w:rsidRPr="00E37E93" w:rsidTr="0010261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Загальні фінансові системи</w:t>
            </w:r>
          </w:p>
        </w:tc>
        <w:tc>
          <w:tcPr>
            <w:tcW w:w="1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Наявність затверджених фінансових положень (фінансова політика або інше)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Наявність базових процедур фінансового управління </w:t>
            </w:r>
          </w:p>
        </w:tc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Фінансова політика</w:t>
            </w:r>
          </w:p>
        </w:tc>
      </w:tr>
      <w:tr w:rsidR="009A7064" w:rsidRPr="00E37E93" w:rsidTr="0010261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b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Фінансова звітність</w:t>
            </w:r>
          </w:p>
        </w:tc>
        <w:tc>
          <w:tcPr>
            <w:tcW w:w="195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Наявність чітких, прозорих і надійних фінансових звітів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Належна та своєчасна фінансова звітність згідно з вимогами чинного законодавства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hAnsiTheme="minorHAnsi" w:cs="Times New Roman"/>
                <w:lang w:val="uk-UA"/>
              </w:rPr>
              <w:t xml:space="preserve">Річні фінансові звіти за останні три роки (що подаються у </w:t>
            </w:r>
            <w:proofErr w:type="spellStart"/>
            <w:r w:rsidRPr="00E37E93">
              <w:rPr>
                <w:rFonts w:asciiTheme="minorHAnsi" w:hAnsiTheme="minorHAnsi" w:cs="Times New Roman"/>
                <w:lang w:val="uk-UA"/>
              </w:rPr>
              <w:t>ДПС</w:t>
            </w:r>
            <w:proofErr w:type="spellEnd"/>
            <w:r w:rsidRPr="00E37E93">
              <w:rPr>
                <w:rFonts w:asciiTheme="minorHAnsi" w:hAnsiTheme="minorHAnsi" w:cs="Times New Roman"/>
                <w:lang w:val="uk-UA"/>
              </w:rPr>
              <w:t>)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hAnsiTheme="minorHAnsi" w:cs="Times New Roman"/>
                <w:lang w:val="uk-UA"/>
              </w:rPr>
              <w:t>Аудиторський звіт (відповідно до міжнародних стандартів)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hAnsiTheme="minorHAnsi" w:cs="Times New Roman"/>
                <w:lang w:val="uk-UA"/>
              </w:rPr>
              <w:t>Положення про фінансову звітність</w:t>
            </w:r>
          </w:p>
        </w:tc>
      </w:tr>
      <w:tr w:rsidR="009A7064" w:rsidRPr="00E37E93" w:rsidTr="0010261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Авторизація платежів та переказ коштів</w:t>
            </w:r>
          </w:p>
        </w:tc>
        <w:tc>
          <w:tcPr>
            <w:tcW w:w="195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Високий рівень внутрішнього контролю за авторизацією платежів та переказом коштів  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Базовий рівень внутрішнього контролю за авторизацією платежів та переказом коштів 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Перелік осіб, що мають право підпису платіжних документів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Політика авторизації платежів</w:t>
            </w:r>
          </w:p>
          <w:p w:rsidR="009A7064" w:rsidRPr="00E37E93" w:rsidRDefault="009A7064" w:rsidP="003808EA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Копії авторизованих рахунків </w:t>
            </w:r>
          </w:p>
        </w:tc>
      </w:tr>
      <w:tr w:rsidR="009A7064" w:rsidRPr="00E37E93" w:rsidTr="0010261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Бюджет</w:t>
            </w:r>
          </w:p>
        </w:tc>
        <w:tc>
          <w:tcPr>
            <w:tcW w:w="195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Річний консолідований бюджет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Наявність проектних бюджетів на кожен проект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Річний бюджет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Проектний бюджет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Інтерв’ю з фінансовим директором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lastRenderedPageBreak/>
              <w:t>Інтерв’ю з членом Правління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Річний бюджет організації за останні три роки (первинний та переглянутий) </w:t>
            </w:r>
          </w:p>
        </w:tc>
      </w:tr>
      <w:tr w:rsidR="009A7064" w:rsidRPr="00E37E93" w:rsidTr="0010261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b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lastRenderedPageBreak/>
              <w:t>Фінансування</w:t>
            </w:r>
          </w:p>
        </w:tc>
        <w:tc>
          <w:tcPr>
            <w:tcW w:w="195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3808EA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Диверсифікація джерел фінансування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Окрім </w:t>
            </w:r>
            <w:r w:rsidR="00102614"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майбутнього </w:t>
            </w:r>
            <w:r w:rsidRPr="00E37E93">
              <w:rPr>
                <w:rFonts w:asciiTheme="minorHAnsi" w:eastAsia="Times New Roman" w:hAnsiTheme="minorHAnsi" w:cs="Times New Roman"/>
                <w:lang w:val="uk-UA"/>
              </w:rPr>
              <w:t>інституційного гранту, організація має і інші джерела фінансування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Річний бюджет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Перелік грантів</w:t>
            </w:r>
          </w:p>
        </w:tc>
      </w:tr>
      <w:tr w:rsidR="009A7064" w:rsidRPr="00E37E93" w:rsidTr="0010261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Закупівлі</w:t>
            </w:r>
          </w:p>
        </w:tc>
        <w:tc>
          <w:tcPr>
            <w:tcW w:w="1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Наявність та дотримання політики закупівель товарів та послуг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Не передбачено</w:t>
            </w:r>
            <w:r w:rsidR="00102614" w:rsidRPr="00E37E93">
              <w:rPr>
                <w:rFonts w:asciiTheme="minorHAnsi" w:eastAsia="Times New Roman" w:hAnsiTheme="minorHAnsi" w:cs="Times New Roman"/>
                <w:lang w:val="uk-UA"/>
              </w:rPr>
              <w:t>, але вітається</w:t>
            </w:r>
          </w:p>
        </w:tc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Політика закупівель товарів та послуг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Протокол засідань Закупівельного комітету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</w:p>
        </w:tc>
      </w:tr>
      <w:tr w:rsidR="009A7064" w:rsidRPr="00E37E93" w:rsidTr="001D5A17">
        <w:trPr>
          <w:trHeight w:val="1295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Аудит</w:t>
            </w:r>
          </w:p>
        </w:tc>
        <w:tc>
          <w:tcPr>
            <w:tcW w:w="195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3808EA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Успішний досвід проходження аудиторських перевірок 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Не передбачено</w:t>
            </w:r>
            <w:r w:rsidR="00102614" w:rsidRPr="00E37E93">
              <w:rPr>
                <w:rFonts w:asciiTheme="minorHAnsi" w:eastAsia="Times New Roman" w:hAnsiTheme="minorHAnsi" w:cs="Times New Roman"/>
                <w:lang w:val="uk-UA"/>
              </w:rPr>
              <w:t>, але вітається</w:t>
            </w:r>
          </w:p>
        </w:tc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Політика проведення аудиту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Аудиторські звіти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</w:p>
        </w:tc>
      </w:tr>
      <w:tr w:rsidR="009A7064" w:rsidRPr="00E37E93" w:rsidTr="00102614">
        <w:trPr>
          <w:trHeight w:val="1813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 xml:space="preserve">Бухгалтерський облік </w:t>
            </w:r>
          </w:p>
        </w:tc>
        <w:tc>
          <w:tcPr>
            <w:tcW w:w="1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Система бухгалтерського обліку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Наявність кваліфікованого бухгалтера, бухгалтерський облік здійснюється згідно зі  встановленим порядком </w:t>
            </w:r>
          </w:p>
        </w:tc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Облікова політика</w:t>
            </w:r>
            <w:r w:rsidRPr="00E37E93">
              <w:rPr>
                <w:rFonts w:asciiTheme="minorHAnsi" w:hAnsiTheme="minorHAnsi" w:cs="Times New Roman"/>
                <w:lang w:val="uk-UA"/>
              </w:rPr>
              <w:t xml:space="preserve"> 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Бухгалтерська програма </w:t>
            </w:r>
          </w:p>
          <w:p w:rsidR="009A7064" w:rsidRPr="00E37E93" w:rsidRDefault="009A7064" w:rsidP="003808EA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Посадова інструкція бухгалтера </w:t>
            </w:r>
          </w:p>
        </w:tc>
      </w:tr>
      <w:tr w:rsidR="009A7064" w:rsidRPr="00E37E93" w:rsidTr="0010261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b/>
                <w:lang w:val="uk-UA"/>
              </w:rPr>
              <w:t>Фандрейзинг</w:t>
            </w:r>
          </w:p>
        </w:tc>
        <w:tc>
          <w:tcPr>
            <w:tcW w:w="19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Наявність та дотримання </w:t>
            </w:r>
            <w:proofErr w:type="spellStart"/>
            <w:r w:rsidRPr="00E37E93">
              <w:rPr>
                <w:rFonts w:asciiTheme="minorHAnsi" w:eastAsia="Times New Roman" w:hAnsiTheme="minorHAnsi" w:cs="Times New Roman"/>
                <w:lang w:val="uk-UA"/>
              </w:rPr>
              <w:t>фандрейзингового</w:t>
            </w:r>
            <w:proofErr w:type="spellEnd"/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 плану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A7064" w:rsidRPr="00E37E93" w:rsidRDefault="009A7064" w:rsidP="008919A4">
            <w:pPr>
              <w:pStyle w:val="Normal1"/>
              <w:spacing w:after="120" w:line="240" w:lineRule="auto"/>
              <w:rPr>
                <w:rFonts w:asciiTheme="minorHAnsi" w:eastAsia="Times New Roman" w:hAnsiTheme="minorHAnsi" w:cs="Times New Roman"/>
                <w:lang w:val="uk-UA"/>
              </w:rPr>
            </w:pPr>
            <w:r w:rsidRPr="00E37E93">
              <w:rPr>
                <w:rFonts w:asciiTheme="minorHAnsi" w:eastAsia="Times New Roman" w:hAnsiTheme="minorHAnsi" w:cs="Times New Roman"/>
                <w:lang w:val="uk-UA"/>
              </w:rPr>
              <w:t>Базовий перелік потенційних джерел фінансування</w:t>
            </w:r>
          </w:p>
        </w:tc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  <w:proofErr w:type="spellStart"/>
            <w:r w:rsidRPr="00E37E93">
              <w:rPr>
                <w:rFonts w:asciiTheme="minorHAnsi" w:eastAsia="Times New Roman" w:hAnsiTheme="minorHAnsi" w:cs="Times New Roman"/>
                <w:lang w:val="uk-UA"/>
              </w:rPr>
              <w:t>Фандрейзинговий</w:t>
            </w:r>
            <w:proofErr w:type="spellEnd"/>
            <w:r w:rsidRPr="00E37E93">
              <w:rPr>
                <w:rFonts w:asciiTheme="minorHAnsi" w:eastAsia="Times New Roman" w:hAnsiTheme="minorHAnsi" w:cs="Times New Roman"/>
                <w:lang w:val="uk-UA"/>
              </w:rPr>
              <w:t xml:space="preserve"> план</w:t>
            </w:r>
          </w:p>
          <w:p w:rsidR="009A7064" w:rsidRPr="00E37E93" w:rsidRDefault="009A7064" w:rsidP="008919A4">
            <w:pPr>
              <w:pStyle w:val="Normal1"/>
              <w:numPr>
                <w:ilvl w:val="0"/>
                <w:numId w:val="1"/>
              </w:numPr>
              <w:spacing w:after="120" w:line="240" w:lineRule="auto"/>
              <w:ind w:left="0" w:hanging="359"/>
              <w:contextualSpacing/>
              <w:rPr>
                <w:rFonts w:asciiTheme="minorHAnsi" w:hAnsiTheme="minorHAnsi" w:cs="Times New Roman"/>
                <w:lang w:val="uk-UA"/>
              </w:rPr>
            </w:pPr>
          </w:p>
        </w:tc>
      </w:tr>
    </w:tbl>
    <w:p w:rsidR="00DE6150" w:rsidRDefault="00DE6150" w:rsidP="00DE6150">
      <w:pPr>
        <w:pStyle w:val="Normal1"/>
        <w:spacing w:after="120" w:line="259" w:lineRule="auto"/>
        <w:rPr>
          <w:rFonts w:asciiTheme="minorHAnsi" w:eastAsia="Times New Roman" w:hAnsiTheme="minorHAnsi" w:cs="Times New Roman"/>
          <w:b/>
          <w:lang w:val="uk-UA"/>
        </w:rPr>
      </w:pPr>
    </w:p>
    <w:p w:rsidR="00DE6150" w:rsidRPr="00E37E93" w:rsidRDefault="002C2E17" w:rsidP="00DE6150">
      <w:pPr>
        <w:pStyle w:val="Normal1"/>
        <w:spacing w:after="120" w:line="259" w:lineRule="auto"/>
        <w:rPr>
          <w:rFonts w:asciiTheme="minorHAnsi" w:eastAsia="Times New Roman" w:hAnsiTheme="minorHAnsi" w:cs="Times New Roman"/>
          <w:b/>
          <w:lang w:val="uk-UA"/>
        </w:rPr>
      </w:pPr>
      <w:r>
        <w:rPr>
          <w:rFonts w:asciiTheme="minorHAnsi" w:eastAsia="Times New Roman" w:hAnsiTheme="minorHAnsi" w:cs="Times New Roman"/>
          <w:b/>
          <w:lang w:val="uk-UA"/>
        </w:rPr>
        <w:t>Терміни</w:t>
      </w:r>
      <w:r w:rsidR="00DE6150" w:rsidRPr="00E37E93">
        <w:rPr>
          <w:rFonts w:asciiTheme="minorHAnsi" w:eastAsia="Times New Roman" w:hAnsiTheme="minorHAnsi" w:cs="Times New Roman"/>
          <w:b/>
          <w:lang w:val="uk-UA"/>
        </w:rPr>
        <w:t xml:space="preserve"> проведення фінансового аудиту та подання звітів:</w:t>
      </w:r>
    </w:p>
    <w:p w:rsidR="00DE6150" w:rsidRPr="00E37E93" w:rsidRDefault="00DE6150" w:rsidP="00DE6150">
      <w:pPr>
        <w:pStyle w:val="Normal1"/>
        <w:spacing w:after="120" w:line="259" w:lineRule="auto"/>
        <w:rPr>
          <w:rFonts w:asciiTheme="minorHAnsi" w:eastAsia="Times New Roman" w:hAnsiTheme="minorHAnsi" w:cs="Times New Roman"/>
          <w:lang w:val="uk-UA"/>
        </w:rPr>
      </w:pPr>
      <w:r w:rsidRPr="00E37E93">
        <w:rPr>
          <w:rFonts w:asciiTheme="minorHAnsi" w:eastAsia="Times New Roman" w:hAnsiTheme="minorHAnsi" w:cs="Times New Roman"/>
          <w:lang w:val="uk-UA"/>
        </w:rPr>
        <w:t>0</w:t>
      </w:r>
      <w:r w:rsidR="004A7DB9">
        <w:rPr>
          <w:rFonts w:asciiTheme="minorHAnsi" w:eastAsia="Times New Roman" w:hAnsiTheme="minorHAnsi" w:cs="Times New Roman"/>
          <w:lang w:val="uk-UA"/>
        </w:rPr>
        <w:t>2</w:t>
      </w:r>
      <w:r w:rsidRPr="00E37E93">
        <w:rPr>
          <w:rFonts w:asciiTheme="minorHAnsi" w:eastAsia="Times New Roman" w:hAnsiTheme="minorHAnsi" w:cs="Times New Roman"/>
          <w:lang w:val="uk-UA"/>
        </w:rPr>
        <w:t xml:space="preserve"> квітня – 20 травня </w:t>
      </w:r>
      <w:r w:rsidR="004A7DB9" w:rsidRPr="00E37E93">
        <w:rPr>
          <w:rFonts w:asciiTheme="minorHAnsi" w:eastAsia="Times New Roman" w:hAnsiTheme="minorHAnsi" w:cs="Times New Roman"/>
          <w:lang w:val="uk-UA"/>
        </w:rPr>
        <w:t xml:space="preserve">2019 р. </w:t>
      </w:r>
      <w:r w:rsidRPr="00E37E93">
        <w:rPr>
          <w:rFonts w:asciiTheme="minorHAnsi" w:eastAsia="Times New Roman" w:hAnsiTheme="minorHAnsi" w:cs="Times New Roman"/>
          <w:lang w:val="uk-UA"/>
        </w:rPr>
        <w:t>– активна фаза проведення аудиту у 25 організаціях</w:t>
      </w:r>
    </w:p>
    <w:p w:rsidR="00DE6150" w:rsidRPr="00E37E93" w:rsidRDefault="00DE6150" w:rsidP="00DE6150">
      <w:pPr>
        <w:pStyle w:val="Normal1"/>
        <w:spacing w:after="120" w:line="259" w:lineRule="auto"/>
        <w:rPr>
          <w:rFonts w:asciiTheme="minorHAnsi" w:eastAsia="Times New Roman" w:hAnsiTheme="minorHAnsi" w:cs="Times New Roman"/>
          <w:lang w:val="uk-UA"/>
        </w:rPr>
      </w:pPr>
      <w:r w:rsidRPr="00E37E93">
        <w:rPr>
          <w:rFonts w:asciiTheme="minorHAnsi" w:eastAsia="Times New Roman" w:hAnsiTheme="minorHAnsi" w:cs="Times New Roman"/>
          <w:lang w:val="uk-UA"/>
        </w:rPr>
        <w:t>21 травня - 02 червня</w:t>
      </w:r>
      <w:r w:rsidR="004A7DB9">
        <w:rPr>
          <w:rFonts w:asciiTheme="minorHAnsi" w:eastAsia="Times New Roman" w:hAnsiTheme="minorHAnsi" w:cs="Times New Roman"/>
          <w:lang w:val="uk-UA"/>
        </w:rPr>
        <w:t xml:space="preserve"> </w:t>
      </w:r>
      <w:r w:rsidR="004A7DB9" w:rsidRPr="00E37E93">
        <w:rPr>
          <w:rFonts w:asciiTheme="minorHAnsi" w:eastAsia="Times New Roman" w:hAnsiTheme="minorHAnsi" w:cs="Times New Roman"/>
          <w:lang w:val="uk-UA"/>
        </w:rPr>
        <w:t xml:space="preserve">2019 р. </w:t>
      </w:r>
      <w:r w:rsidRPr="00E37E93">
        <w:rPr>
          <w:rFonts w:asciiTheme="minorHAnsi" w:eastAsia="Times New Roman" w:hAnsiTheme="minorHAnsi" w:cs="Times New Roman"/>
          <w:lang w:val="uk-UA"/>
        </w:rPr>
        <w:t xml:space="preserve">– завершення написання індивідуальних звітів за результатами аудиту </w:t>
      </w:r>
    </w:p>
    <w:p w:rsidR="00DE6150" w:rsidRPr="00E37E93" w:rsidRDefault="00DE6150" w:rsidP="00DE6150">
      <w:pPr>
        <w:pStyle w:val="Normal1"/>
        <w:spacing w:after="120" w:line="259" w:lineRule="auto"/>
        <w:rPr>
          <w:rFonts w:asciiTheme="minorHAnsi" w:eastAsia="Times New Roman" w:hAnsiTheme="minorHAnsi" w:cs="Times New Roman"/>
          <w:lang w:val="uk-UA"/>
        </w:rPr>
      </w:pPr>
      <w:r w:rsidRPr="00E37E93">
        <w:rPr>
          <w:rFonts w:asciiTheme="minorHAnsi" w:eastAsia="Times New Roman" w:hAnsiTheme="minorHAnsi" w:cs="Times New Roman"/>
          <w:lang w:val="uk-UA"/>
        </w:rPr>
        <w:t xml:space="preserve">03 червня 2019 р. – </w:t>
      </w:r>
      <w:r w:rsidRPr="00DE6150">
        <w:rPr>
          <w:rFonts w:asciiTheme="minorHAnsi" w:eastAsia="Times New Roman" w:hAnsiTheme="minorHAnsi" w:cs="Times New Roman"/>
          <w:u w:val="single"/>
          <w:lang w:val="uk-UA"/>
        </w:rPr>
        <w:t>крайній термін подання аудиторських звітів до МФВ</w:t>
      </w:r>
    </w:p>
    <w:p w:rsidR="00DE6150" w:rsidRDefault="00DE6150" w:rsidP="006B3E92">
      <w:pPr>
        <w:pStyle w:val="Normal1"/>
        <w:spacing w:after="120" w:line="259" w:lineRule="auto"/>
        <w:rPr>
          <w:rFonts w:asciiTheme="minorHAnsi" w:eastAsia="Times New Roman" w:hAnsiTheme="minorHAnsi" w:cs="Times New Roman"/>
          <w:b/>
          <w:lang w:val="uk-UA"/>
        </w:rPr>
      </w:pPr>
    </w:p>
    <w:p w:rsidR="00DE6150" w:rsidRPr="00DE6150" w:rsidRDefault="00DE6150" w:rsidP="006B3E92">
      <w:pPr>
        <w:pStyle w:val="Normal1"/>
        <w:spacing w:after="120" w:line="259" w:lineRule="auto"/>
        <w:rPr>
          <w:rFonts w:asciiTheme="minorHAnsi" w:eastAsia="Times New Roman" w:hAnsiTheme="minorHAnsi" w:cs="Times New Roman"/>
          <w:b/>
          <w:lang w:val="uk-UA"/>
        </w:rPr>
      </w:pPr>
      <w:r w:rsidRPr="00DE6150">
        <w:rPr>
          <w:rFonts w:asciiTheme="minorHAnsi" w:eastAsia="Times New Roman" w:hAnsiTheme="minorHAnsi" w:cs="Times New Roman"/>
          <w:b/>
          <w:lang w:val="uk-UA"/>
        </w:rPr>
        <w:t>Планування фінансового аудиту</w:t>
      </w:r>
    </w:p>
    <w:p w:rsidR="004A7DB9" w:rsidRPr="00DB79D7" w:rsidRDefault="004A7DB9" w:rsidP="002C2E17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DB79D7">
        <w:rPr>
          <w:rFonts w:asciiTheme="minorHAnsi" w:eastAsia="Times New Roman" w:hAnsiTheme="minorHAnsi" w:cs="Times New Roman"/>
          <w:u w:val="single"/>
          <w:lang w:val="uk-UA"/>
        </w:rPr>
        <w:t>28 березня 2019 р.</w:t>
      </w:r>
      <w:r>
        <w:rPr>
          <w:rFonts w:asciiTheme="minorHAnsi" w:eastAsia="Times New Roman" w:hAnsiTheme="minorHAnsi" w:cs="Times New Roman"/>
          <w:lang w:val="uk-UA"/>
        </w:rPr>
        <w:t xml:space="preserve"> – 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аудиторська фірма матиме можливість познайомитися, висловити свої рекомендації та відповісти на питання керівників організацій, в яких проводитиметься аудит (під час </w:t>
      </w:r>
      <w:r w:rsidRPr="00DB79D7">
        <w:rPr>
          <w:color w:val="auto"/>
          <w:lang w:val="uk-UA"/>
        </w:rPr>
        <w:t>координаційного заходу  для</w:t>
      </w:r>
      <w:r w:rsidRPr="00DB79D7">
        <w:rPr>
          <w:lang w:val="uk-UA"/>
        </w:rPr>
        <w:t xml:space="preserve"> організацій – переможців 1-го етапу конкурсу</w:t>
      </w:r>
      <w:r w:rsidRPr="00DB79D7">
        <w:rPr>
          <w:rFonts w:asciiTheme="minorHAnsi" w:eastAsia="Times New Roman" w:hAnsiTheme="minorHAnsi" w:cs="Times New Roman"/>
          <w:lang w:val="uk-UA"/>
        </w:rPr>
        <w:t>)</w:t>
      </w:r>
    </w:p>
    <w:p w:rsidR="00DE6150" w:rsidRDefault="00DE6150" w:rsidP="002C2E17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Аудитор</w:t>
      </w:r>
      <w:r w:rsidR="002C2E17">
        <w:rPr>
          <w:rFonts w:asciiTheme="minorHAnsi" w:eastAsia="Times New Roman" w:hAnsiTheme="minorHAnsi" w:cs="Times New Roman"/>
          <w:lang w:val="uk-UA"/>
        </w:rPr>
        <w:t>ська фірма/ компанія</w:t>
      </w:r>
      <w:r>
        <w:rPr>
          <w:rFonts w:asciiTheme="minorHAnsi" w:eastAsia="Times New Roman" w:hAnsiTheme="minorHAnsi" w:cs="Times New Roman"/>
          <w:lang w:val="uk-UA"/>
        </w:rPr>
        <w:t xml:space="preserve"> самостійно визначає методи здійснення фінансового аудиту, на основі повної або відібраної інформації і документації.</w:t>
      </w:r>
    </w:p>
    <w:p w:rsidR="002C2E17" w:rsidRPr="002C2E17" w:rsidRDefault="002C2E17" w:rsidP="002C2E17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lastRenderedPageBreak/>
        <w:t xml:space="preserve">Процедури фінансового аудиту </w:t>
      </w:r>
      <w:r w:rsidRPr="002C2E17">
        <w:rPr>
          <w:rFonts w:asciiTheme="minorHAnsi" w:eastAsia="Times New Roman" w:hAnsiTheme="minorHAnsi" w:cs="Times New Roman"/>
          <w:lang w:val="uk-UA"/>
        </w:rPr>
        <w:t xml:space="preserve">можуть </w:t>
      </w:r>
      <w:r>
        <w:rPr>
          <w:rFonts w:asciiTheme="minorHAnsi" w:eastAsia="Times New Roman" w:hAnsiTheme="minorHAnsi" w:cs="Times New Roman"/>
          <w:lang w:val="uk-UA"/>
        </w:rPr>
        <w:t>включати</w:t>
      </w:r>
      <w:r w:rsidRPr="002C2E17">
        <w:rPr>
          <w:rFonts w:asciiTheme="minorHAnsi" w:eastAsia="Times New Roman" w:hAnsiTheme="minorHAnsi" w:cs="Times New Roman"/>
          <w:lang w:val="uk-UA"/>
        </w:rPr>
        <w:t xml:space="preserve"> перевірку, оцінку, співбесіди, аналіз та інші методики. </w:t>
      </w:r>
    </w:p>
    <w:p w:rsidR="002C2E17" w:rsidRDefault="002C2E17" w:rsidP="002C2E17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2C2E17">
        <w:rPr>
          <w:rFonts w:asciiTheme="minorHAnsi" w:eastAsia="Times New Roman" w:hAnsiTheme="minorHAnsi" w:cs="Times New Roman"/>
          <w:lang w:val="uk-UA"/>
        </w:rPr>
        <w:t xml:space="preserve">Аудитор зобов'язується забезпечити цілісність і послідовність </w:t>
      </w:r>
      <w:r>
        <w:rPr>
          <w:rFonts w:asciiTheme="minorHAnsi" w:eastAsia="Times New Roman" w:hAnsiTheme="minorHAnsi" w:cs="Times New Roman"/>
          <w:lang w:val="uk-UA"/>
        </w:rPr>
        <w:t>під час проведення аудиторських операцій. Це стосується і організації роботи аудиторської групи</w:t>
      </w:r>
      <w:r w:rsidRPr="002C2E17">
        <w:rPr>
          <w:rFonts w:asciiTheme="minorHAnsi" w:eastAsia="Times New Roman" w:hAnsiTheme="minorHAnsi" w:cs="Times New Roman"/>
          <w:lang w:val="uk-UA"/>
        </w:rPr>
        <w:t>.</w:t>
      </w:r>
    </w:p>
    <w:p w:rsidR="002C2E17" w:rsidRPr="002C2E17" w:rsidRDefault="002C2E17" w:rsidP="002C2E17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Здійснення аудиту обов‘язково має передбачати принаймні разовий візит до організації, в якій проводиться аудит.</w:t>
      </w:r>
    </w:p>
    <w:p w:rsidR="00DE6150" w:rsidRDefault="00DE6150" w:rsidP="002C2E17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>Аудитор самостійно складає графік комунікації і візитів до організацій, в яких проводитиметься аудит</w:t>
      </w:r>
      <w:r w:rsidR="002C2E17">
        <w:rPr>
          <w:rFonts w:asciiTheme="minorHAnsi" w:eastAsia="Times New Roman" w:hAnsiTheme="minorHAnsi" w:cs="Times New Roman"/>
          <w:lang w:val="uk-UA"/>
        </w:rPr>
        <w:t>, згідно із загальними термінами проведення аудиту</w:t>
      </w:r>
      <w:r>
        <w:rPr>
          <w:rFonts w:asciiTheme="minorHAnsi" w:eastAsia="Times New Roman" w:hAnsiTheme="minorHAnsi" w:cs="Times New Roman"/>
          <w:lang w:val="uk-UA"/>
        </w:rPr>
        <w:t>.</w:t>
      </w:r>
    </w:p>
    <w:p w:rsidR="002C2E17" w:rsidRDefault="002C2E17" w:rsidP="002C2E17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</w:p>
    <w:p w:rsidR="00DE6150" w:rsidRPr="002C2E17" w:rsidRDefault="00DB79D7" w:rsidP="00DE6150">
      <w:pPr>
        <w:pStyle w:val="Normal1"/>
        <w:pBdr>
          <w:left w:val="nil"/>
        </w:pBdr>
        <w:spacing w:after="120" w:line="259" w:lineRule="auto"/>
        <w:rPr>
          <w:rFonts w:asciiTheme="minorHAnsi" w:eastAsia="Times New Roman" w:hAnsiTheme="minorHAnsi" w:cs="Times New Roman"/>
          <w:b/>
          <w:lang w:val="uk-UA"/>
        </w:rPr>
      </w:pPr>
      <w:r>
        <w:rPr>
          <w:rFonts w:asciiTheme="minorHAnsi" w:eastAsia="Times New Roman" w:hAnsiTheme="minorHAnsi" w:cs="Times New Roman"/>
          <w:b/>
          <w:lang w:val="uk-UA"/>
        </w:rPr>
        <w:t>Аудиторський з</w:t>
      </w:r>
      <w:r w:rsidR="00DE6150" w:rsidRPr="002C2E17">
        <w:rPr>
          <w:rFonts w:asciiTheme="minorHAnsi" w:eastAsia="Times New Roman" w:hAnsiTheme="minorHAnsi" w:cs="Times New Roman"/>
          <w:b/>
          <w:lang w:val="uk-UA"/>
        </w:rPr>
        <w:t xml:space="preserve">віт </w:t>
      </w:r>
    </w:p>
    <w:p w:rsidR="0048179B" w:rsidRDefault="00DB79D7" w:rsidP="0048179B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 xml:space="preserve">Аудиторський звіт складається індивідуально для кожної організації, де проводився аудит. </w:t>
      </w:r>
      <w:r w:rsidR="0048179B" w:rsidRPr="00DB79D7">
        <w:rPr>
          <w:rFonts w:asciiTheme="minorHAnsi" w:eastAsia="Times New Roman" w:hAnsiTheme="minorHAnsi" w:cs="Times New Roman"/>
          <w:lang w:val="uk-UA"/>
        </w:rPr>
        <w:t xml:space="preserve">Аудитор має представити </w:t>
      </w:r>
      <w:r w:rsidR="0048179B" w:rsidRPr="0048179B">
        <w:rPr>
          <w:rFonts w:asciiTheme="minorHAnsi" w:eastAsia="Times New Roman" w:hAnsiTheme="minorHAnsi" w:cs="Times New Roman"/>
          <w:u w:val="single"/>
          <w:lang w:val="uk-UA"/>
        </w:rPr>
        <w:t>аудиторський звіт</w:t>
      </w:r>
      <w:r w:rsidR="0048179B" w:rsidRPr="00DB79D7">
        <w:rPr>
          <w:rFonts w:asciiTheme="minorHAnsi" w:eastAsia="Times New Roman" w:hAnsiTheme="minorHAnsi" w:cs="Times New Roman"/>
          <w:lang w:val="uk-UA"/>
        </w:rPr>
        <w:t xml:space="preserve"> та </w:t>
      </w:r>
      <w:r w:rsidR="0048179B" w:rsidRPr="0048179B">
        <w:rPr>
          <w:rFonts w:asciiTheme="minorHAnsi" w:eastAsia="Times New Roman" w:hAnsiTheme="minorHAnsi" w:cs="Times New Roman"/>
          <w:u w:val="single"/>
          <w:lang w:val="uk-UA"/>
        </w:rPr>
        <w:t>лист до керівництва</w:t>
      </w:r>
      <w:r w:rsidR="0048179B">
        <w:rPr>
          <w:rFonts w:asciiTheme="minorHAnsi" w:eastAsia="Times New Roman" w:hAnsiTheme="minorHAnsi" w:cs="Times New Roman"/>
          <w:lang w:val="uk-UA"/>
        </w:rPr>
        <w:t xml:space="preserve"> відповідної організації</w:t>
      </w:r>
      <w:r w:rsidR="0048179B" w:rsidRPr="00DB79D7">
        <w:rPr>
          <w:rFonts w:asciiTheme="minorHAnsi" w:eastAsia="Times New Roman" w:hAnsiTheme="minorHAnsi" w:cs="Times New Roman"/>
          <w:lang w:val="uk-UA"/>
        </w:rPr>
        <w:t xml:space="preserve">. </w:t>
      </w:r>
    </w:p>
    <w:p w:rsidR="005713B2" w:rsidRDefault="005713B2" w:rsidP="005713B2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5713B2">
        <w:rPr>
          <w:rFonts w:asciiTheme="minorHAnsi" w:eastAsia="Times New Roman" w:hAnsiTheme="minorHAnsi" w:cs="Times New Roman"/>
          <w:lang w:val="uk-UA"/>
        </w:rPr>
        <w:t>Аудиторський з</w:t>
      </w:r>
      <w:r w:rsidRPr="005713B2">
        <w:rPr>
          <w:rFonts w:asciiTheme="minorHAnsi" w:eastAsia="Times New Roman" w:hAnsiTheme="minorHAnsi" w:cs="Times New Roman"/>
          <w:lang w:val="uk-UA"/>
        </w:rPr>
        <w:t xml:space="preserve">віт </w:t>
      </w:r>
      <w:r w:rsidRPr="005713B2">
        <w:rPr>
          <w:rFonts w:asciiTheme="minorHAnsi" w:eastAsia="Times New Roman" w:hAnsiTheme="minorHAnsi" w:cs="Times New Roman"/>
          <w:lang w:val="uk-UA"/>
        </w:rPr>
        <w:t xml:space="preserve">та лист до керівництва </w:t>
      </w:r>
      <w:r w:rsidRPr="005713B2">
        <w:rPr>
          <w:rFonts w:asciiTheme="minorHAnsi" w:eastAsia="Times New Roman" w:hAnsiTheme="minorHAnsi" w:cs="Times New Roman"/>
          <w:lang w:val="uk-UA"/>
        </w:rPr>
        <w:t>підпису</w:t>
      </w:r>
      <w:r>
        <w:rPr>
          <w:rFonts w:asciiTheme="minorHAnsi" w:eastAsia="Times New Roman" w:hAnsiTheme="minorHAnsi" w:cs="Times New Roman"/>
          <w:lang w:val="uk-UA"/>
        </w:rPr>
        <w:t>ю</w:t>
      </w:r>
      <w:r w:rsidRPr="005713B2">
        <w:rPr>
          <w:rFonts w:asciiTheme="minorHAnsi" w:eastAsia="Times New Roman" w:hAnsiTheme="minorHAnsi" w:cs="Times New Roman"/>
          <w:lang w:val="uk-UA"/>
        </w:rPr>
        <w:t>ться відповідальним аудитором із зазначенням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 </w:t>
      </w:r>
      <w:r>
        <w:rPr>
          <w:rFonts w:asciiTheme="minorHAnsi" w:eastAsia="Times New Roman" w:hAnsiTheme="minorHAnsi" w:cs="Times New Roman"/>
          <w:lang w:val="uk-UA"/>
        </w:rPr>
        <w:t xml:space="preserve">імені і 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посади аудитора та найменування аудиторської компанії. </w:t>
      </w:r>
    </w:p>
    <w:p w:rsidR="005713B2" w:rsidRPr="00B312E2" w:rsidRDefault="005713B2" w:rsidP="005713B2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u w:val="single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 xml:space="preserve">Звіт і лист пишуться українською мовою та надаються до МФВ у двох друкованих примірниках. Також звіт і лист надсилаються до МФВ </w:t>
      </w:r>
      <w:r w:rsidRPr="00B312E2">
        <w:rPr>
          <w:rFonts w:asciiTheme="minorHAnsi" w:eastAsia="Times New Roman" w:hAnsiTheme="minorHAnsi" w:cs="Times New Roman"/>
          <w:lang w:val="uk-UA"/>
        </w:rPr>
        <w:t>в електронній формі</w:t>
      </w:r>
      <w:r>
        <w:rPr>
          <w:rFonts w:asciiTheme="minorHAnsi" w:eastAsia="Times New Roman" w:hAnsiTheme="minorHAnsi" w:cs="Times New Roman"/>
          <w:lang w:val="uk-UA"/>
        </w:rPr>
        <w:t xml:space="preserve"> до </w:t>
      </w:r>
      <w:r w:rsidRPr="00B312E2">
        <w:rPr>
          <w:rFonts w:asciiTheme="minorHAnsi" w:eastAsia="Times New Roman" w:hAnsiTheme="minorHAnsi" w:cs="Times New Roman"/>
          <w:u w:val="single"/>
          <w:lang w:val="uk-UA"/>
        </w:rPr>
        <w:t>03 червня 2019 р.</w:t>
      </w:r>
    </w:p>
    <w:p w:rsidR="0048179B" w:rsidRDefault="0048179B" w:rsidP="0048179B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B312E2">
        <w:rPr>
          <w:rFonts w:asciiTheme="minorHAnsi" w:eastAsia="Times New Roman" w:hAnsiTheme="minorHAnsi" w:cs="Times New Roman"/>
          <w:u w:val="single"/>
          <w:lang w:val="uk-UA"/>
        </w:rPr>
        <w:t>Аудиторський з</w:t>
      </w:r>
      <w:r w:rsidRPr="00B312E2">
        <w:rPr>
          <w:rFonts w:asciiTheme="minorHAnsi" w:eastAsia="Times New Roman" w:hAnsiTheme="minorHAnsi" w:cs="Times New Roman"/>
          <w:u w:val="single"/>
          <w:lang w:val="uk-UA"/>
        </w:rPr>
        <w:t>віт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 повин</w:t>
      </w:r>
      <w:r>
        <w:rPr>
          <w:rFonts w:asciiTheme="minorHAnsi" w:eastAsia="Times New Roman" w:hAnsiTheme="minorHAnsi" w:cs="Times New Roman"/>
          <w:lang w:val="uk-UA"/>
        </w:rPr>
        <w:t>ен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 містити</w:t>
      </w:r>
      <w:r>
        <w:rPr>
          <w:rFonts w:asciiTheme="minorHAnsi" w:eastAsia="Times New Roman" w:hAnsiTheme="minorHAnsi" w:cs="Times New Roman"/>
          <w:lang w:val="uk-UA"/>
        </w:rPr>
        <w:t>:</w:t>
      </w:r>
    </w:p>
    <w:p w:rsidR="0048179B" w:rsidRDefault="0048179B" w:rsidP="0048179B">
      <w:pPr>
        <w:pStyle w:val="Normal1"/>
        <w:numPr>
          <w:ilvl w:val="0"/>
          <w:numId w:val="12"/>
        </w:numPr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DB79D7">
        <w:rPr>
          <w:rFonts w:asciiTheme="minorHAnsi" w:eastAsia="Times New Roman" w:hAnsiTheme="minorHAnsi" w:cs="Times New Roman"/>
          <w:lang w:val="uk-UA"/>
        </w:rPr>
        <w:t>детальну інформацію щодо використан</w:t>
      </w:r>
      <w:r>
        <w:rPr>
          <w:rFonts w:asciiTheme="minorHAnsi" w:eastAsia="Times New Roman" w:hAnsiTheme="minorHAnsi" w:cs="Times New Roman"/>
          <w:lang w:val="uk-UA"/>
        </w:rPr>
        <w:t>их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 метод</w:t>
      </w:r>
      <w:r>
        <w:rPr>
          <w:rFonts w:asciiTheme="minorHAnsi" w:eastAsia="Times New Roman" w:hAnsiTheme="minorHAnsi" w:cs="Times New Roman"/>
          <w:lang w:val="uk-UA"/>
        </w:rPr>
        <w:t>ів аудиту та обсягу аудиту</w:t>
      </w:r>
    </w:p>
    <w:p w:rsidR="00B312E2" w:rsidRPr="00B312E2" w:rsidRDefault="00B312E2" w:rsidP="00B312E2">
      <w:pPr>
        <w:pStyle w:val="Normal1"/>
        <w:numPr>
          <w:ilvl w:val="0"/>
          <w:numId w:val="12"/>
        </w:numPr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B312E2">
        <w:rPr>
          <w:rFonts w:asciiTheme="minorHAnsi" w:eastAsia="Times New Roman" w:hAnsiTheme="minorHAnsi" w:cs="Times New Roman"/>
          <w:lang w:val="uk-UA"/>
        </w:rPr>
        <w:t>інформацію з питань, які, на професійне судження аудитора, були значущими під час аудиту фінансової звітності поточного періоду (</w:t>
      </w:r>
      <w:r>
        <w:rPr>
          <w:rFonts w:asciiTheme="minorHAnsi" w:eastAsia="Times New Roman" w:hAnsiTheme="minorHAnsi" w:cs="Times New Roman"/>
          <w:lang w:val="uk-UA"/>
        </w:rPr>
        <w:t>к</w:t>
      </w:r>
      <w:r w:rsidRPr="00B312E2">
        <w:rPr>
          <w:rFonts w:asciiTheme="minorHAnsi" w:eastAsia="Times New Roman" w:hAnsiTheme="minorHAnsi" w:cs="Times New Roman"/>
          <w:lang w:val="uk-UA"/>
        </w:rPr>
        <w:t>лючові питання аудиту). Ключові питання аудиту відбираються з-поміж тих питань, інформація щодо яких повідомлялась тим, кого на</w:t>
      </w:r>
      <w:r>
        <w:rPr>
          <w:rFonts w:asciiTheme="minorHAnsi" w:eastAsia="Times New Roman" w:hAnsiTheme="minorHAnsi" w:cs="Times New Roman"/>
          <w:lang w:val="uk-UA"/>
        </w:rPr>
        <w:t>ділено найвищими повноваженнями</w:t>
      </w:r>
    </w:p>
    <w:p w:rsidR="0048179B" w:rsidRPr="00DB79D7" w:rsidRDefault="0048179B" w:rsidP="0048179B">
      <w:pPr>
        <w:pStyle w:val="Normal1"/>
        <w:numPr>
          <w:ilvl w:val="0"/>
          <w:numId w:val="12"/>
        </w:numPr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DB79D7">
        <w:rPr>
          <w:rFonts w:asciiTheme="minorHAnsi" w:eastAsia="Times New Roman" w:hAnsiTheme="minorHAnsi" w:cs="Times New Roman"/>
          <w:lang w:val="uk-UA"/>
        </w:rPr>
        <w:t>посилання на те, яких заходів було вжито за результатами попередньої аудиторської перевірки</w:t>
      </w:r>
      <w:r>
        <w:rPr>
          <w:rFonts w:asciiTheme="minorHAnsi" w:eastAsia="Times New Roman" w:hAnsiTheme="minorHAnsi" w:cs="Times New Roman"/>
          <w:lang w:val="uk-UA"/>
        </w:rPr>
        <w:t xml:space="preserve"> (якщо така проводилася)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, чи вжиті заходи були адекватними для усунення визначених недоліків. </w:t>
      </w:r>
      <w:r>
        <w:rPr>
          <w:rFonts w:asciiTheme="minorHAnsi" w:eastAsia="Times New Roman" w:hAnsiTheme="minorHAnsi" w:cs="Times New Roman"/>
          <w:lang w:val="uk-UA"/>
        </w:rPr>
        <w:t>Перелік з</w:t>
      </w:r>
      <w:r w:rsidRPr="00DB79D7">
        <w:rPr>
          <w:rFonts w:asciiTheme="minorHAnsi" w:eastAsia="Times New Roman" w:hAnsiTheme="minorHAnsi" w:cs="Times New Roman"/>
          <w:lang w:val="uk-UA"/>
        </w:rPr>
        <w:t>аход</w:t>
      </w:r>
      <w:r>
        <w:rPr>
          <w:rFonts w:asciiTheme="minorHAnsi" w:eastAsia="Times New Roman" w:hAnsiTheme="minorHAnsi" w:cs="Times New Roman"/>
          <w:lang w:val="uk-UA"/>
        </w:rPr>
        <w:t>ів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, які застосувала </w:t>
      </w:r>
      <w:r>
        <w:rPr>
          <w:rFonts w:asciiTheme="minorHAnsi" w:eastAsia="Times New Roman" w:hAnsiTheme="minorHAnsi" w:cs="Times New Roman"/>
          <w:lang w:val="uk-UA"/>
        </w:rPr>
        <w:t>о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рганізація </w:t>
      </w:r>
      <w:r>
        <w:rPr>
          <w:rFonts w:asciiTheme="minorHAnsi" w:eastAsia="Times New Roman" w:hAnsiTheme="minorHAnsi" w:cs="Times New Roman"/>
          <w:lang w:val="uk-UA"/>
        </w:rPr>
        <w:t>для виправлення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 недоліків, виз</w:t>
      </w:r>
      <w:r>
        <w:rPr>
          <w:rFonts w:asciiTheme="minorHAnsi" w:eastAsia="Times New Roman" w:hAnsiTheme="minorHAnsi" w:cs="Times New Roman"/>
          <w:lang w:val="uk-UA"/>
        </w:rPr>
        <w:t>начених при попередніх аудитах</w:t>
      </w:r>
    </w:p>
    <w:p w:rsidR="00B312E2" w:rsidRPr="00B312E2" w:rsidRDefault="00B312E2" w:rsidP="00B312E2">
      <w:pPr>
        <w:pStyle w:val="Normal1"/>
        <w:numPr>
          <w:ilvl w:val="0"/>
          <w:numId w:val="12"/>
        </w:numPr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B312E2">
        <w:rPr>
          <w:rFonts w:asciiTheme="minorHAnsi" w:eastAsia="Times New Roman" w:hAnsiTheme="minorHAnsi" w:cs="Times New Roman"/>
          <w:lang w:val="uk-UA"/>
        </w:rPr>
        <w:t xml:space="preserve">рекомендації стосовно усунення будь-яких </w:t>
      </w:r>
      <w:r>
        <w:rPr>
          <w:rFonts w:asciiTheme="minorHAnsi" w:eastAsia="Times New Roman" w:hAnsiTheme="minorHAnsi" w:cs="Times New Roman"/>
          <w:lang w:val="uk-UA"/>
        </w:rPr>
        <w:t>виявлених</w:t>
      </w:r>
      <w:r w:rsidRPr="00B312E2">
        <w:rPr>
          <w:rFonts w:asciiTheme="minorHAnsi" w:eastAsia="Times New Roman" w:hAnsiTheme="minorHAnsi" w:cs="Times New Roman"/>
          <w:lang w:val="uk-UA"/>
        </w:rPr>
        <w:t xml:space="preserve"> слабких сторін. Рекомендації мають бути представлені в порядку їх пріоритетності.</w:t>
      </w:r>
    </w:p>
    <w:p w:rsidR="00B312E2" w:rsidRPr="00DB79D7" w:rsidRDefault="00B312E2" w:rsidP="00B312E2">
      <w:pPr>
        <w:pStyle w:val="Normal1"/>
        <w:numPr>
          <w:ilvl w:val="0"/>
          <w:numId w:val="12"/>
        </w:numPr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DB79D7">
        <w:rPr>
          <w:rFonts w:asciiTheme="minorHAnsi" w:eastAsia="Times New Roman" w:hAnsiTheme="minorHAnsi" w:cs="Times New Roman"/>
          <w:lang w:val="uk-UA"/>
        </w:rPr>
        <w:t>рекомендації щодо удосконалення середовища внутрішнього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 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контролю, а також </w:t>
      </w:r>
      <w:r>
        <w:rPr>
          <w:rFonts w:asciiTheme="minorHAnsi" w:eastAsia="Times New Roman" w:hAnsiTheme="minorHAnsi" w:cs="Times New Roman"/>
          <w:lang w:val="uk-UA"/>
        </w:rPr>
        <w:t>проектних та облікових процедур</w:t>
      </w:r>
    </w:p>
    <w:p w:rsidR="0048179B" w:rsidRDefault="0048179B" w:rsidP="0048179B">
      <w:pPr>
        <w:pStyle w:val="Normal1"/>
        <w:numPr>
          <w:ilvl w:val="0"/>
          <w:numId w:val="12"/>
        </w:numPr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>
        <w:rPr>
          <w:rFonts w:asciiTheme="minorHAnsi" w:eastAsia="Times New Roman" w:hAnsiTheme="minorHAnsi" w:cs="Times New Roman"/>
          <w:lang w:val="uk-UA"/>
        </w:rPr>
        <w:t xml:space="preserve">узагальнення результатів проведених аудиторських процедур та </w:t>
      </w:r>
      <w:r w:rsidRPr="00DB79D7">
        <w:rPr>
          <w:rFonts w:asciiTheme="minorHAnsi" w:eastAsia="Times New Roman" w:hAnsiTheme="minorHAnsi" w:cs="Times New Roman"/>
          <w:lang w:val="uk-UA"/>
        </w:rPr>
        <w:t>висновки аудиту, сформовані в</w:t>
      </w:r>
      <w:r>
        <w:rPr>
          <w:rFonts w:asciiTheme="minorHAnsi" w:eastAsia="Times New Roman" w:hAnsiTheme="minorHAnsi" w:cs="Times New Roman"/>
          <w:lang w:val="uk-UA"/>
        </w:rPr>
        <w:t xml:space="preserve"> процесі аудиторської перевірки</w:t>
      </w:r>
    </w:p>
    <w:p w:rsidR="0048179B" w:rsidRDefault="0048179B" w:rsidP="0048179B">
      <w:pPr>
        <w:pStyle w:val="Normal1"/>
        <w:numPr>
          <w:ilvl w:val="0"/>
          <w:numId w:val="12"/>
        </w:numPr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DB79D7">
        <w:rPr>
          <w:rFonts w:asciiTheme="minorHAnsi" w:eastAsia="Times New Roman" w:hAnsiTheme="minorHAnsi" w:cs="Times New Roman"/>
          <w:lang w:val="uk-UA"/>
        </w:rPr>
        <w:t xml:space="preserve">запевнення в тому, що аудит виконувався дипломованим аудитором відповідно до міжнародних стандартів. </w:t>
      </w:r>
    </w:p>
    <w:p w:rsidR="005713B2" w:rsidRDefault="005713B2" w:rsidP="005713B2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B312E2">
        <w:rPr>
          <w:rFonts w:asciiTheme="minorHAnsi" w:eastAsia="Times New Roman" w:hAnsiTheme="minorHAnsi" w:cs="Times New Roman"/>
          <w:lang w:val="uk-UA"/>
        </w:rPr>
        <w:t xml:space="preserve">Обсяг звіту не повинен перевищувати </w:t>
      </w:r>
      <w:r>
        <w:rPr>
          <w:rFonts w:asciiTheme="minorHAnsi" w:eastAsia="Times New Roman" w:hAnsiTheme="minorHAnsi" w:cs="Times New Roman"/>
          <w:lang w:val="uk-UA"/>
        </w:rPr>
        <w:t>5</w:t>
      </w:r>
      <w:r w:rsidRPr="00B312E2">
        <w:rPr>
          <w:rFonts w:asciiTheme="minorHAnsi" w:eastAsia="Times New Roman" w:hAnsiTheme="minorHAnsi" w:cs="Times New Roman"/>
          <w:lang w:val="uk-UA"/>
        </w:rPr>
        <w:t xml:space="preserve"> сторінок. </w:t>
      </w:r>
    </w:p>
    <w:p w:rsidR="005713B2" w:rsidRDefault="005713B2" w:rsidP="005713B2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  <w:r w:rsidRPr="00B312E2">
        <w:rPr>
          <w:rFonts w:asciiTheme="minorHAnsi" w:eastAsia="Times New Roman" w:hAnsiTheme="minorHAnsi" w:cs="Times New Roman"/>
          <w:u w:val="single"/>
          <w:lang w:val="uk-UA"/>
        </w:rPr>
        <w:t>Лист до керівництва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 має бути представлений </w:t>
      </w:r>
      <w:r>
        <w:rPr>
          <w:rFonts w:asciiTheme="minorHAnsi" w:eastAsia="Times New Roman" w:hAnsiTheme="minorHAnsi" w:cs="Times New Roman"/>
          <w:lang w:val="uk-UA"/>
        </w:rPr>
        <w:t>разом з аудиторським звітом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. </w:t>
      </w:r>
      <w:r>
        <w:rPr>
          <w:rFonts w:asciiTheme="minorHAnsi" w:eastAsia="Times New Roman" w:hAnsiTheme="minorHAnsi" w:cs="Times New Roman"/>
          <w:lang w:val="uk-UA"/>
        </w:rPr>
        <w:t>Лист містить основні висновки і рекомендації аудитора по результатах поточного аудиту, а також перелік з</w:t>
      </w:r>
      <w:r w:rsidRPr="00DB79D7">
        <w:rPr>
          <w:rFonts w:asciiTheme="minorHAnsi" w:eastAsia="Times New Roman" w:hAnsiTheme="minorHAnsi" w:cs="Times New Roman"/>
          <w:lang w:val="uk-UA"/>
        </w:rPr>
        <w:t>аход</w:t>
      </w:r>
      <w:r>
        <w:rPr>
          <w:rFonts w:asciiTheme="minorHAnsi" w:eastAsia="Times New Roman" w:hAnsiTheme="minorHAnsi" w:cs="Times New Roman"/>
          <w:lang w:val="uk-UA"/>
        </w:rPr>
        <w:t>ів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, які застосувала </w:t>
      </w:r>
      <w:r>
        <w:rPr>
          <w:rFonts w:asciiTheme="minorHAnsi" w:eastAsia="Times New Roman" w:hAnsiTheme="minorHAnsi" w:cs="Times New Roman"/>
          <w:lang w:val="uk-UA"/>
        </w:rPr>
        <w:t>о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рганізація </w:t>
      </w:r>
      <w:r>
        <w:rPr>
          <w:rFonts w:asciiTheme="minorHAnsi" w:eastAsia="Times New Roman" w:hAnsiTheme="minorHAnsi" w:cs="Times New Roman"/>
          <w:lang w:val="uk-UA"/>
        </w:rPr>
        <w:t>для виправлення</w:t>
      </w:r>
      <w:r w:rsidRPr="00DB79D7">
        <w:rPr>
          <w:rFonts w:asciiTheme="minorHAnsi" w:eastAsia="Times New Roman" w:hAnsiTheme="minorHAnsi" w:cs="Times New Roman"/>
          <w:lang w:val="uk-UA"/>
        </w:rPr>
        <w:t xml:space="preserve"> недоліків, виз</w:t>
      </w:r>
      <w:r>
        <w:rPr>
          <w:rFonts w:asciiTheme="minorHAnsi" w:eastAsia="Times New Roman" w:hAnsiTheme="minorHAnsi" w:cs="Times New Roman"/>
          <w:lang w:val="uk-UA"/>
        </w:rPr>
        <w:t>начених при попередніх аудитах.</w:t>
      </w:r>
      <w:r w:rsidRPr="005713B2">
        <w:rPr>
          <w:rFonts w:asciiTheme="minorHAnsi" w:eastAsia="Times New Roman" w:hAnsiTheme="minorHAnsi" w:cs="Times New Roman"/>
          <w:lang w:val="uk-UA"/>
        </w:rPr>
        <w:t xml:space="preserve"> </w:t>
      </w:r>
    </w:p>
    <w:p w:rsidR="003808EA" w:rsidRDefault="003808EA" w:rsidP="00B312E2">
      <w:pPr>
        <w:pStyle w:val="Normal1"/>
        <w:spacing w:after="120" w:line="259" w:lineRule="auto"/>
        <w:jc w:val="both"/>
        <w:rPr>
          <w:rFonts w:asciiTheme="minorHAnsi" w:eastAsia="Times New Roman" w:hAnsiTheme="minorHAnsi" w:cs="Times New Roman"/>
          <w:lang w:val="uk-UA"/>
        </w:rPr>
      </w:pPr>
    </w:p>
    <w:sectPr w:rsidR="003808EA" w:rsidSect="00DE61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F47E7A"/>
    <w:lvl w:ilvl="0">
      <w:numFmt w:val="bullet"/>
      <w:lvlText w:val="*"/>
      <w:lvlJc w:val="left"/>
    </w:lvl>
  </w:abstractNum>
  <w:abstractNum w:abstractNumId="1">
    <w:nsid w:val="11B91C7C"/>
    <w:multiLevelType w:val="hybridMultilevel"/>
    <w:tmpl w:val="B5E6A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D94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F2683"/>
    <w:multiLevelType w:val="hybridMultilevel"/>
    <w:tmpl w:val="4276FFAC"/>
    <w:lvl w:ilvl="0" w:tplc="2AE4C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76AEB"/>
    <w:multiLevelType w:val="hybridMultilevel"/>
    <w:tmpl w:val="01C2DCFE"/>
    <w:lvl w:ilvl="0" w:tplc="2AE4CD10">
      <w:numFmt w:val="bullet"/>
      <w:lvlText w:val="-"/>
      <w:lvlJc w:val="left"/>
      <w:pPr>
        <w:ind w:left="761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254A3D7C"/>
    <w:multiLevelType w:val="hybridMultilevel"/>
    <w:tmpl w:val="31887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661E5"/>
    <w:multiLevelType w:val="hybridMultilevel"/>
    <w:tmpl w:val="CFF69D34"/>
    <w:lvl w:ilvl="0" w:tplc="2AE4C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375D3"/>
    <w:multiLevelType w:val="hybridMultilevel"/>
    <w:tmpl w:val="ED22F178"/>
    <w:lvl w:ilvl="0" w:tplc="2AE4C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AE4CD1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53529"/>
    <w:multiLevelType w:val="hybridMultilevel"/>
    <w:tmpl w:val="372E5304"/>
    <w:lvl w:ilvl="0" w:tplc="2AE4C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20268"/>
    <w:multiLevelType w:val="hybridMultilevel"/>
    <w:tmpl w:val="0DD64FFA"/>
    <w:lvl w:ilvl="0" w:tplc="0422000F">
      <w:start w:val="1"/>
      <w:numFmt w:val="decimal"/>
      <w:lvlText w:val="%1."/>
      <w:lvlJc w:val="left"/>
      <w:pPr>
        <w:ind w:left="387" w:hanging="360"/>
      </w:pPr>
    </w:lvl>
    <w:lvl w:ilvl="1" w:tplc="04220019" w:tentative="1">
      <w:start w:val="1"/>
      <w:numFmt w:val="lowerLetter"/>
      <w:lvlText w:val="%2."/>
      <w:lvlJc w:val="left"/>
      <w:pPr>
        <w:ind w:left="1107" w:hanging="360"/>
      </w:pPr>
    </w:lvl>
    <w:lvl w:ilvl="2" w:tplc="0422001B" w:tentative="1">
      <w:start w:val="1"/>
      <w:numFmt w:val="lowerRoman"/>
      <w:lvlText w:val="%3."/>
      <w:lvlJc w:val="right"/>
      <w:pPr>
        <w:ind w:left="1827" w:hanging="180"/>
      </w:pPr>
    </w:lvl>
    <w:lvl w:ilvl="3" w:tplc="0422000F" w:tentative="1">
      <w:start w:val="1"/>
      <w:numFmt w:val="decimal"/>
      <w:lvlText w:val="%4."/>
      <w:lvlJc w:val="left"/>
      <w:pPr>
        <w:ind w:left="2547" w:hanging="360"/>
      </w:pPr>
    </w:lvl>
    <w:lvl w:ilvl="4" w:tplc="04220019" w:tentative="1">
      <w:start w:val="1"/>
      <w:numFmt w:val="lowerLetter"/>
      <w:lvlText w:val="%5."/>
      <w:lvlJc w:val="left"/>
      <w:pPr>
        <w:ind w:left="3267" w:hanging="360"/>
      </w:pPr>
    </w:lvl>
    <w:lvl w:ilvl="5" w:tplc="0422001B" w:tentative="1">
      <w:start w:val="1"/>
      <w:numFmt w:val="lowerRoman"/>
      <w:lvlText w:val="%6."/>
      <w:lvlJc w:val="right"/>
      <w:pPr>
        <w:ind w:left="3987" w:hanging="180"/>
      </w:pPr>
    </w:lvl>
    <w:lvl w:ilvl="6" w:tplc="0422000F" w:tentative="1">
      <w:start w:val="1"/>
      <w:numFmt w:val="decimal"/>
      <w:lvlText w:val="%7."/>
      <w:lvlJc w:val="left"/>
      <w:pPr>
        <w:ind w:left="4707" w:hanging="360"/>
      </w:pPr>
    </w:lvl>
    <w:lvl w:ilvl="7" w:tplc="04220019" w:tentative="1">
      <w:start w:val="1"/>
      <w:numFmt w:val="lowerLetter"/>
      <w:lvlText w:val="%8."/>
      <w:lvlJc w:val="left"/>
      <w:pPr>
        <w:ind w:left="5427" w:hanging="360"/>
      </w:pPr>
    </w:lvl>
    <w:lvl w:ilvl="8" w:tplc="0422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6897270F"/>
    <w:multiLevelType w:val="multilevel"/>
    <w:tmpl w:val="39B06E0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3E92"/>
    <w:rsid w:val="000973F0"/>
    <w:rsid w:val="000A5EF9"/>
    <w:rsid w:val="000C68CF"/>
    <w:rsid w:val="00102614"/>
    <w:rsid w:val="0011135A"/>
    <w:rsid w:val="00113B3A"/>
    <w:rsid w:val="00132C83"/>
    <w:rsid w:val="0018581D"/>
    <w:rsid w:val="001C546D"/>
    <w:rsid w:val="001D5A17"/>
    <w:rsid w:val="00213D1C"/>
    <w:rsid w:val="00243DCD"/>
    <w:rsid w:val="0024571E"/>
    <w:rsid w:val="00246180"/>
    <w:rsid w:val="00246D25"/>
    <w:rsid w:val="0025266E"/>
    <w:rsid w:val="0027648F"/>
    <w:rsid w:val="002C2E17"/>
    <w:rsid w:val="00361B9E"/>
    <w:rsid w:val="003808EA"/>
    <w:rsid w:val="003B528E"/>
    <w:rsid w:val="003D3AD5"/>
    <w:rsid w:val="003D6CA5"/>
    <w:rsid w:val="00437BB2"/>
    <w:rsid w:val="0048179B"/>
    <w:rsid w:val="004A79AB"/>
    <w:rsid w:val="004A7DB9"/>
    <w:rsid w:val="004B61BD"/>
    <w:rsid w:val="00517698"/>
    <w:rsid w:val="005713B2"/>
    <w:rsid w:val="00591E44"/>
    <w:rsid w:val="006136F5"/>
    <w:rsid w:val="006169DF"/>
    <w:rsid w:val="00676573"/>
    <w:rsid w:val="00692AA1"/>
    <w:rsid w:val="006B2B61"/>
    <w:rsid w:val="006B3E92"/>
    <w:rsid w:val="00716D0D"/>
    <w:rsid w:val="00781212"/>
    <w:rsid w:val="007D2CEA"/>
    <w:rsid w:val="00821452"/>
    <w:rsid w:val="008222D4"/>
    <w:rsid w:val="00847464"/>
    <w:rsid w:val="00884EEE"/>
    <w:rsid w:val="008F6DC9"/>
    <w:rsid w:val="00936BC0"/>
    <w:rsid w:val="00993B64"/>
    <w:rsid w:val="009A7064"/>
    <w:rsid w:val="00A408FE"/>
    <w:rsid w:val="00A844D6"/>
    <w:rsid w:val="00A90F52"/>
    <w:rsid w:val="00A91FD8"/>
    <w:rsid w:val="00A92595"/>
    <w:rsid w:val="00B312E2"/>
    <w:rsid w:val="00B62039"/>
    <w:rsid w:val="00B64F35"/>
    <w:rsid w:val="00B95F58"/>
    <w:rsid w:val="00BC7364"/>
    <w:rsid w:val="00C57F88"/>
    <w:rsid w:val="00D76732"/>
    <w:rsid w:val="00DB60D6"/>
    <w:rsid w:val="00DB79D7"/>
    <w:rsid w:val="00DC0EE7"/>
    <w:rsid w:val="00DE6150"/>
    <w:rsid w:val="00E37E93"/>
    <w:rsid w:val="00EA228A"/>
    <w:rsid w:val="00EB720D"/>
    <w:rsid w:val="00EC6361"/>
    <w:rsid w:val="00F44D90"/>
    <w:rsid w:val="00FA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6B3E9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/>
    </w:rPr>
  </w:style>
  <w:style w:type="paragraph" w:customStyle="1" w:styleId="normal">
    <w:name w:val="normal"/>
    <w:rsid w:val="006B3E92"/>
    <w:pPr>
      <w:spacing w:after="0"/>
      <w:contextualSpacing/>
    </w:pPr>
    <w:rPr>
      <w:rFonts w:ascii="Arial" w:eastAsia="Arial" w:hAnsi="Arial" w:cs="Arial"/>
      <w:lang w:eastAsia="uk-UA"/>
    </w:rPr>
  </w:style>
  <w:style w:type="paragraph" w:styleId="a3">
    <w:name w:val="Normal (Web)"/>
    <w:basedOn w:val="a"/>
    <w:semiHidden/>
    <w:rsid w:val="00F44D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F44D90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1135A"/>
    <w:pPr>
      <w:ind w:left="720"/>
      <w:contextualSpacing/>
    </w:pPr>
  </w:style>
  <w:style w:type="character" w:customStyle="1" w:styleId="a6">
    <w:name w:val="Абзац списку Знак"/>
    <w:link w:val="a5"/>
    <w:locked/>
    <w:rsid w:val="00111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f.ua/allevents/news/vidrodzhennya_ta_posolstvo_shvetsii_rozvivatimut_ekologichni_organizatsii_v_ukrai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5914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KUKHARENKO</dc:creator>
  <cp:lastModifiedBy>KUKHARENKO</cp:lastModifiedBy>
  <cp:revision>6</cp:revision>
  <dcterms:created xsi:type="dcterms:W3CDTF">2019-02-19T13:44:00Z</dcterms:created>
  <dcterms:modified xsi:type="dcterms:W3CDTF">2019-02-20T12:13:00Z</dcterms:modified>
</cp:coreProperties>
</file>