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AA" w:rsidRDefault="00E370AA">
      <w:pPr>
        <w:jc w:val="center"/>
        <w:rPr>
          <w:rFonts w:ascii="Cambria" w:hAnsi="Cambria" w:cs="Cambria"/>
          <w:b/>
          <w:bCs/>
          <w:sz w:val="28"/>
          <w:szCs w:val="28"/>
          <w:lang w:val="uk-UA"/>
        </w:rPr>
      </w:pPr>
      <w:r>
        <w:rPr>
          <w:rFonts w:ascii="Cambria" w:hAnsi="Cambria" w:cs="Cambria"/>
          <w:b/>
          <w:bCs/>
          <w:sz w:val="28"/>
          <w:szCs w:val="28"/>
        </w:rPr>
        <w:t>Що таке соц</w:t>
      </w:r>
      <w:r>
        <w:rPr>
          <w:rFonts w:ascii="Cambria" w:hAnsi="Cambria" w:cs="Cambria"/>
          <w:b/>
          <w:bCs/>
          <w:sz w:val="28"/>
          <w:szCs w:val="28"/>
          <w:lang w:val="uk-UA"/>
        </w:rPr>
        <w:t>іальна підзвітність</w:t>
      </w:r>
    </w:p>
    <w:p w:rsidR="00E370AA" w:rsidRDefault="00E370AA">
      <w:pPr>
        <w:rPr>
          <w:rFonts w:ascii="Cambria" w:hAnsi="Cambria" w:cs="Cambria"/>
          <w:lang w:val="uk-UA"/>
        </w:rPr>
      </w:pPr>
      <w:r>
        <w:rPr>
          <w:rFonts w:ascii="Cambria" w:hAnsi="Cambria" w:cs="Cambria"/>
          <w:lang w:val="uk-UA"/>
        </w:rPr>
        <w:t>Соціальну підзвітність можна охарактеризувати як підхід, направлений на побудову систематичної підзвітності органів влади, що спирається на громадську активність. Тобто це така взаємодія між владою та громадянським суспільством, яка направлена на максимальне залучення другої сторони у систему прийняття рішень та планування політики.</w:t>
      </w:r>
      <w:bookmarkStart w:id="0" w:name="_GoBack"/>
      <w:bookmarkEnd w:id="0"/>
    </w:p>
    <w:p w:rsidR="00E370AA" w:rsidRDefault="00E370AA">
      <w:pPr>
        <w:rPr>
          <w:rFonts w:ascii="Cambria" w:hAnsi="Cambria" w:cs="Cambria"/>
          <w:lang w:val="uk-UA"/>
        </w:rPr>
      </w:pPr>
      <w:r>
        <w:rPr>
          <w:rFonts w:ascii="Cambria" w:hAnsi="Cambria" w:cs="Cambria"/>
          <w:lang w:val="uk-UA"/>
        </w:rPr>
        <w:t>Ініціювати та підтримувати механізми соціальної підзвітності може держава, громадяни, або і ті і інші, але найчастіше ці механізми мають попит та функціонують знизу.</w:t>
      </w:r>
    </w:p>
    <w:p w:rsidR="00E370AA" w:rsidRDefault="00E370AA">
      <w:pPr>
        <w:rPr>
          <w:rFonts w:ascii="Cambria" w:hAnsi="Cambria" w:cs="Cambria"/>
          <w:lang w:val="uk-UA"/>
        </w:rPr>
      </w:pPr>
      <w:r>
        <w:rPr>
          <w:rFonts w:ascii="Cambria" w:hAnsi="Cambria" w:cs="Cambria"/>
          <w:lang w:val="uk-UA"/>
        </w:rPr>
        <w:t>Прозорість — є невід’ємним елементом системи соціальної підзвітності і означає відкритість системи управління завдяки чітким процесам і процедурам, легкий доступ до відкритої інформації для громадян.</w:t>
      </w:r>
    </w:p>
    <w:p w:rsidR="00E370AA" w:rsidRDefault="00E370AA">
      <w:pPr>
        <w:rPr>
          <w:rFonts w:ascii="Cambria" w:hAnsi="Cambria" w:cs="Cambria"/>
          <w:lang w:val="uk-UA"/>
        </w:rPr>
      </w:pPr>
      <w:r>
        <w:rPr>
          <w:rFonts w:ascii="Cambria" w:hAnsi="Cambria" w:cs="Cambria"/>
          <w:lang w:val="uk-UA"/>
        </w:rPr>
        <w:t>Соціальна підзвітність, окрім активної участі громадськості у процесі прийняття рішень органами влади, ставить за мету:</w:t>
      </w:r>
    </w:p>
    <w:p w:rsidR="00E370AA" w:rsidRDefault="00E370AA">
      <w:pPr>
        <w:pStyle w:val="ListParagraph"/>
        <w:numPr>
          <w:ilvl w:val="0"/>
          <w:numId w:val="1"/>
        </w:numPr>
        <w:rPr>
          <w:rFonts w:ascii="Cambria" w:hAnsi="Cambria" w:cs="Cambria"/>
          <w:lang w:val="uk-UA"/>
        </w:rPr>
      </w:pPr>
      <w:r>
        <w:rPr>
          <w:rFonts w:ascii="Cambria" w:hAnsi="Cambria" w:cs="Cambria"/>
          <w:lang w:val="uk-UA"/>
        </w:rPr>
        <w:t>Боротьбу з корупцією</w:t>
      </w:r>
    </w:p>
    <w:p w:rsidR="00E370AA" w:rsidRDefault="00E370AA">
      <w:pPr>
        <w:pStyle w:val="ListParagraph"/>
        <w:numPr>
          <w:ilvl w:val="0"/>
          <w:numId w:val="1"/>
        </w:numPr>
        <w:rPr>
          <w:rFonts w:ascii="Cambria" w:hAnsi="Cambria" w:cs="Cambria"/>
          <w:lang w:val="uk-UA"/>
        </w:rPr>
      </w:pPr>
      <w:r>
        <w:rPr>
          <w:rFonts w:ascii="Cambria" w:hAnsi="Cambria" w:cs="Cambria"/>
          <w:lang w:val="uk-UA"/>
        </w:rPr>
        <w:t>Добросовісне управління — більш ефективне надання послуг</w:t>
      </w:r>
    </w:p>
    <w:p w:rsidR="00E370AA" w:rsidRDefault="00E370AA">
      <w:pPr>
        <w:pStyle w:val="ListParagraph"/>
        <w:numPr>
          <w:ilvl w:val="0"/>
          <w:numId w:val="1"/>
        </w:numPr>
        <w:rPr>
          <w:rFonts w:ascii="Cambria" w:hAnsi="Cambria" w:cs="Cambria"/>
          <w:lang w:val="uk-UA"/>
        </w:rPr>
      </w:pPr>
      <w:r>
        <w:rPr>
          <w:rFonts w:ascii="Cambria" w:hAnsi="Cambria" w:cs="Cambria"/>
          <w:lang w:val="uk-UA"/>
        </w:rPr>
        <w:t>Розвиток демократії — зміцнення взаємовідносин між громадянами та державою</w:t>
      </w:r>
    </w:p>
    <w:p w:rsidR="00E370AA" w:rsidRDefault="00E370AA">
      <w:pPr>
        <w:pStyle w:val="ListParagraph"/>
        <w:numPr>
          <w:ilvl w:val="0"/>
          <w:numId w:val="1"/>
        </w:numPr>
        <w:rPr>
          <w:rFonts w:ascii="Cambria" w:hAnsi="Cambria" w:cs="Cambria"/>
          <w:lang w:val="uk-UA"/>
        </w:rPr>
      </w:pPr>
      <w:r>
        <w:rPr>
          <w:rFonts w:ascii="Cambria" w:hAnsi="Cambria" w:cs="Cambria"/>
          <w:lang w:val="uk-UA"/>
        </w:rPr>
        <w:t>Розширення прав і можливостей — посилення значення громадської думки</w:t>
      </w:r>
    </w:p>
    <w:p w:rsidR="00E370AA" w:rsidRDefault="00E370AA">
      <w:pPr>
        <w:pStyle w:val="ListParagraph"/>
        <w:numPr>
          <w:ilvl w:val="0"/>
          <w:numId w:val="1"/>
        </w:numPr>
        <w:rPr>
          <w:rFonts w:ascii="Cambria" w:hAnsi="Cambria" w:cs="Cambria"/>
          <w:lang w:val="uk-UA"/>
        </w:rPr>
      </w:pPr>
      <w:r>
        <w:rPr>
          <w:rFonts w:ascii="Cambria" w:hAnsi="Cambria" w:cs="Cambria"/>
          <w:lang w:val="uk-UA"/>
        </w:rPr>
        <w:t>Реальне забезпечення прав людини</w:t>
      </w:r>
    </w:p>
    <w:p w:rsidR="00E370AA" w:rsidRDefault="00E370AA">
      <w:pPr>
        <w:rPr>
          <w:rFonts w:ascii="Cambria" w:hAnsi="Cambria" w:cs="Cambria"/>
          <w:lang w:val="uk-UA"/>
        </w:rPr>
      </w:pPr>
      <w:r>
        <w:rPr>
          <w:noProof/>
          <w:lang w:val="uk-UA" w:eastAsia="uk-UA"/>
        </w:rPr>
        <w:pict>
          <v:shapetype id="_x0000_t202" coordsize="21600,21600" o:spt="202" path="m,l,21600r21600,l21600,xe">
            <v:stroke joinstyle="miter"/>
            <v:path gradientshapeok="t" o:connecttype="rect"/>
          </v:shapetype>
          <v:shape id="Text Box 12" o:spid="_x0000_s1026" type="#_x0000_t202" style="position:absolute;margin-left:304.3pt;margin-top:34.65pt;width:166.4pt;height:63.85pt;z-index:251656192;visibility:visible" filled="f" stroked="f">
            <v:textbox>
              <w:txbxContent>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Дослідження громадської думки</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Адвокаційні кампанії</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Планування розвитку</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Участь громадськості</w:t>
                  </w:r>
                </w:p>
              </w:txbxContent>
            </v:textbox>
          </v:shape>
        </w:pict>
      </w:r>
      <w:r>
        <w:rPr>
          <w:rFonts w:ascii="Cambria" w:hAnsi="Cambria" w:cs="Cambria"/>
          <w:lang w:val="uk-UA"/>
        </w:rPr>
        <w:t>Робота механізму соціальної підзвітності передбачає участь громадянського суспільства на всіх етапах реалізації державної та регіональної політики.</w:t>
      </w:r>
    </w:p>
    <w:p w:rsidR="00E370AA" w:rsidRDefault="00E370AA">
      <w:pPr>
        <w:rPr>
          <w:rFonts w:ascii="Times New Roman" w:hAnsi="Times New Roman" w:cs="Times New Roman"/>
          <w:lang w:val="uk-UA"/>
        </w:rPr>
      </w:pPr>
    </w:p>
    <w:p w:rsidR="00E370AA" w:rsidRDefault="00E370AA">
      <w:pPr>
        <w:rPr>
          <w:rFonts w:ascii="Times New Roman" w:hAnsi="Times New Roman" w:cs="Times New Roman"/>
          <w:lang w:val="uk-UA"/>
        </w:rPr>
      </w:pPr>
      <w:r>
        <w:rPr>
          <w:noProof/>
          <w:lang w:val="uk-UA" w:eastAsia="uk-UA"/>
        </w:rPr>
        <w:pict>
          <v:oval id="Oval 25" o:spid="_x0000_s1027" style="position:absolute;margin-left:175.8pt;margin-top:124.15pt;width:142.6pt;height:130.35pt;z-index:251655168;visibility:visible;v-text-anchor:middle" fillcolor="black" stroked="f">
            <v:fill color2="black" angle="180" focus="80%" type="gradient">
              <o:fill v:ext="view" type="gradientUnscaled"/>
            </v:fill>
            <v:shadow on="t" color="black" opacity="22937f" origin=",.5" offset="0,.63889mm"/>
            <v:textbox inset="0,0,0,0">
              <w:txbxContent>
                <w:p w:rsidR="00E370AA" w:rsidRDefault="00E370AA">
                  <w:pPr>
                    <w:pStyle w:val="NormalWeb"/>
                    <w:spacing w:before="0" w:beforeAutospacing="0" w:after="0" w:afterAutospacing="0"/>
                    <w:jc w:val="center"/>
                    <w:rPr>
                      <w:rFonts w:ascii="Calibri" w:eastAsia="MS Mincho" w:hAnsi="Calibri" w:cs="Times New Roman"/>
                      <w:b/>
                      <w:bCs/>
                      <w:color w:val="FFFFFF"/>
                      <w:kern w:val="24"/>
                      <w:sz w:val="36"/>
                      <w:szCs w:val="36"/>
                      <w:lang w:val="en-US"/>
                    </w:rPr>
                  </w:pPr>
                </w:p>
                <w:p w:rsidR="00E370AA" w:rsidRDefault="00E370AA">
                  <w:pPr>
                    <w:pStyle w:val="NormalWeb"/>
                    <w:spacing w:before="0" w:beforeAutospacing="0" w:after="0" w:afterAutospacing="0"/>
                    <w:jc w:val="center"/>
                    <w:rPr>
                      <w:rFonts w:cs="Times New Roman"/>
                      <w:sz w:val="22"/>
                      <w:szCs w:val="22"/>
                      <w:lang w:val="uk-UA"/>
                    </w:rPr>
                  </w:pPr>
                  <w:r>
                    <w:rPr>
                      <w:rFonts w:ascii="Calibri" w:eastAsia="MS Mincho" w:hAnsi="Calibri" w:cs="Calibri"/>
                      <w:b/>
                      <w:bCs/>
                      <w:color w:val="FFFFFF"/>
                      <w:kern w:val="24"/>
                      <w:sz w:val="36"/>
                      <w:szCs w:val="36"/>
                      <w:lang w:val="uk-UA"/>
                    </w:rPr>
                    <w:t>Соціальна підзвітність</w:t>
                  </w:r>
                </w:p>
                <w:p w:rsidR="00E370AA" w:rsidRDefault="00E370AA">
                  <w:pPr>
                    <w:pStyle w:val="NormalWeb"/>
                    <w:spacing w:before="0" w:beforeAutospacing="0" w:after="0" w:afterAutospacing="0"/>
                    <w:jc w:val="center"/>
                    <w:rPr>
                      <w:rFonts w:cs="Times New Roman"/>
                    </w:rPr>
                  </w:pPr>
                  <w:r>
                    <w:rPr>
                      <w:rFonts w:ascii="Calibri" w:eastAsia="MS Mincho" w:hAnsi="Calibri" w:cs="Times New Roman"/>
                      <w:b/>
                      <w:bCs/>
                      <w:color w:val="FFFFFF"/>
                      <w:kern w:val="24"/>
                      <w:sz w:val="40"/>
                      <w:szCs w:val="40"/>
                      <w:lang w:val="en-US"/>
                    </w:rPr>
                    <w:t> </w:t>
                  </w:r>
                </w:p>
              </w:txbxContent>
            </v:textbox>
          </v:oval>
        </w:pict>
      </w:r>
      <w:r>
        <w:rPr>
          <w:noProof/>
          <w:lang w:val="uk-UA" w:eastAsia="uk-UA"/>
        </w:rPr>
        <w:pict>
          <v:shape id="_x0000_s1028" type="#_x0000_t202" style="position:absolute;margin-left:-29.25pt;margin-top:347.9pt;width:171.15pt;height:55pt;z-index:251659264;visibility:visible" filled="f" stroked="f">
            <v:textbox>
              <w:txbxContent>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Громадський контроль за бюджетними витратами</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Соціальний аудит</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Контроль за розподілом коштів</w:t>
                  </w:r>
                </w:p>
                <w:p w:rsidR="00E370AA" w:rsidRDefault="00E370AA">
                  <w:pPr>
                    <w:pStyle w:val="NormalWeb"/>
                    <w:spacing w:before="0" w:beforeAutospacing="0" w:after="0" w:afterAutospacing="0"/>
                    <w:rPr>
                      <w:rFonts w:ascii="Cambria" w:eastAsia="MS Mincho" w:hAnsi="Cambria" w:cs="Times New Roman"/>
                      <w:color w:val="000000"/>
                      <w:kern w:val="24"/>
                      <w:lang w:val="uk-UA"/>
                    </w:rPr>
                  </w:pPr>
                </w:p>
              </w:txbxContent>
            </v:textbox>
          </v:shape>
        </w:pict>
      </w:r>
      <w:r>
        <w:rPr>
          <w:noProof/>
          <w:lang w:val="uk-UA" w:eastAsia="uk-UA"/>
        </w:rPr>
        <w:pict>
          <v:shape id="_x0000_s1029" type="#_x0000_t202" style="position:absolute;margin-left:391.9pt;margin-top:269.75pt;width:156.85pt;height:33.3pt;z-index:251658240;visibility:visible" filled="f" stroked="f">
            <v:textbox>
              <w:txbxContent>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Незалежний аналіз бюджетів</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Розподіл бюджетних коштів</w:t>
                  </w:r>
                </w:p>
              </w:txbxContent>
            </v:textbox>
          </v:shape>
        </w:pict>
      </w:r>
      <w:r>
        <w:rPr>
          <w:noProof/>
          <w:lang w:val="uk-UA" w:eastAsia="uk-UA"/>
        </w:rPr>
        <w:pict>
          <v:shape id="_x0000_s1030" type="#_x0000_t202" style="position:absolute;margin-left:400.75pt;margin-top:57.15pt;width:152.1pt;height:44.15pt;z-index:251657216;visibility:visible" filled="f" stroked="f">
            <v:textbox>
              <w:txbxContent>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Планування за участю громадськості</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Формування переліку потреб</w:t>
                  </w:r>
                </w:p>
              </w:txbxContent>
            </v:textbox>
          </v:shape>
        </w:pict>
      </w:r>
      <w:r>
        <w:rPr>
          <w:noProof/>
          <w:lang w:val="uk-UA" w:eastAsia="uk-UA"/>
        </w:rPr>
        <w:pict>
          <v:shape id="_x0000_s1031" type="#_x0000_t202" style="position:absolute;margin-left:-29.2pt;margin-top:48.3pt;width:171.15pt;height:45.45pt;z-index:251660288;visibility:visible" filled="f" stroked="f">
            <v:textbox>
              <w:txbxContent>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Соціальний аудит</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Громадська оцінка якості послуг</w:t>
                  </w:r>
                </w:p>
                <w:p w:rsidR="00E370AA" w:rsidRDefault="00E370AA">
                  <w:pPr>
                    <w:pStyle w:val="NormalWeb"/>
                    <w:spacing w:before="0" w:beforeAutospacing="0" w:after="0" w:afterAutospacing="0"/>
                    <w:rPr>
                      <w:rFonts w:ascii="Cambria" w:eastAsia="MS Mincho" w:hAnsi="Cambria" w:cs="Cambria"/>
                      <w:color w:val="000000"/>
                      <w:kern w:val="24"/>
                      <w:sz w:val="20"/>
                      <w:szCs w:val="20"/>
                      <w:lang w:val="uk-UA"/>
                    </w:rPr>
                  </w:pPr>
                  <w:r>
                    <w:rPr>
                      <w:rFonts w:ascii="Cambria" w:eastAsia="MS Mincho" w:hAnsi="Cambria" w:cs="Cambria"/>
                      <w:color w:val="000000"/>
                      <w:kern w:val="24"/>
                      <w:sz w:val="20"/>
                      <w:szCs w:val="20"/>
                      <w:lang w:val="uk-UA"/>
                    </w:rPr>
                    <w:t>Моніторинг задоволення потреб</w:t>
                  </w:r>
                </w:p>
                <w:p w:rsidR="00E370AA" w:rsidRDefault="00E370AA">
                  <w:pPr>
                    <w:pStyle w:val="NormalWeb"/>
                    <w:spacing w:before="0" w:beforeAutospacing="0" w:after="0" w:afterAutospacing="0"/>
                    <w:rPr>
                      <w:rFonts w:ascii="Cambria" w:eastAsia="MS Mincho" w:hAnsi="Cambria" w:cs="Times New Roman"/>
                      <w:color w:val="000000"/>
                      <w:kern w:val="24"/>
                      <w:lang w:val="uk-UA"/>
                    </w:rPr>
                  </w:pPr>
                </w:p>
              </w:txbxContent>
            </v:textbox>
          </v:shape>
        </w:pict>
      </w:r>
      <w:r>
        <w:rPr>
          <w:rFonts w:ascii="Times New Roman" w:hAnsi="Times New Roman" w:cs="Times New Roman"/>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84.5pt;height:354pt;visibility:visible">
            <v:imagedata r:id="rId5" o:title="" cropbottom="-959f" cropleft="-6021f" cropright="-6423f"/>
            <o:lock v:ext="edit" aspectratio="f"/>
          </v:shape>
        </w:pict>
      </w:r>
    </w:p>
    <w:sectPr w:rsidR="00E370AA" w:rsidSect="00E370AA">
      <w:pgSz w:w="11906" w:h="16838"/>
      <w:pgMar w:top="680"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S Mincho">
    <w:altName w:val="‚l‚r –ѕ’©"/>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B763D"/>
    <w:multiLevelType w:val="hybridMultilevel"/>
    <w:tmpl w:val="A5E49E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0AA"/>
    <w:rsid w:val="00E370A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ru-RU"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182</Words>
  <Characters>1042</Characters>
  <Application>Microsoft Office Outlook</Application>
  <DocSecurity>0</DocSecurity>
  <Lines>0</Lines>
  <Paragraphs>0</Paragraphs>
  <ScaleCrop>false</ScaleCrop>
  <Company>IRF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KUCHERUK</cp:lastModifiedBy>
  <cp:revision>3</cp:revision>
  <dcterms:created xsi:type="dcterms:W3CDTF">2014-06-06T07:25:00Z</dcterms:created>
  <dcterms:modified xsi:type="dcterms:W3CDTF">2014-06-06T12:36:00Z</dcterms:modified>
</cp:coreProperties>
</file>