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F0509" w14:textId="77777777" w:rsidR="00834526" w:rsidRPr="00247BDE" w:rsidRDefault="0042585A" w:rsidP="0042585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b/>
          <w:sz w:val="24"/>
          <w:szCs w:val="24"/>
          <w:lang w:val="uk-UA"/>
        </w:rPr>
        <w:t>Новий концепт підозри</w:t>
      </w:r>
    </w:p>
    <w:p w14:paraId="01969F56" w14:textId="48FA7330" w:rsidR="000D7A1D" w:rsidRPr="00247BDE" w:rsidRDefault="000D7A1D" w:rsidP="00247BD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b/>
          <w:sz w:val="24"/>
          <w:szCs w:val="24"/>
          <w:lang w:val="uk-UA"/>
        </w:rPr>
        <w:t>Що не так</w:t>
      </w:r>
      <w:r w:rsidR="000132F7" w:rsidRPr="00247BDE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14:paraId="60326E06" w14:textId="7E30D580" w:rsidR="000D7A1D" w:rsidRPr="00247BDE" w:rsidRDefault="00667666" w:rsidP="00247BDE">
      <w:pPr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sz w:val="24"/>
          <w:szCs w:val="24"/>
          <w:lang w:val="uk-UA"/>
        </w:rPr>
        <w:t>Дослідження свідчать про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низки проблем у 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>застосуванн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інституту підозри у кримінальному процесі</w:t>
      </w:r>
      <w:r w:rsidR="000132F7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. Перша пов’язана із тим, що для </w:t>
      </w:r>
      <w:r w:rsidR="00B473FC" w:rsidRPr="00247BDE">
        <w:rPr>
          <w:rFonts w:ascii="Times New Roman" w:hAnsi="Times New Roman" w:cs="Times New Roman"/>
          <w:sz w:val="24"/>
          <w:szCs w:val="24"/>
          <w:lang w:val="uk-UA"/>
        </w:rPr>
        <w:t>застосування так званого «ордерного затримання» (</w:t>
      </w:r>
      <w:proofErr w:type="spellStart"/>
      <w:r w:rsidR="00B473FC" w:rsidRPr="00247BD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B473FC" w:rsidRPr="00247BDE">
        <w:rPr>
          <w:rFonts w:ascii="Times New Roman" w:hAnsi="Times New Roman" w:cs="Times New Roman"/>
          <w:sz w:val="24"/>
          <w:szCs w:val="24"/>
          <w:lang w:val="uk-UA"/>
        </w:rPr>
        <w:t>. 276-278 КПК України)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, представники 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>органів досудового розслідування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2F7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мають офіційно вручити особі повідомлення про підозру ще до 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із клопотанням про </w:t>
      </w:r>
      <w:r w:rsidR="00EA51E5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дозвіл на 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>затримання особи</w:t>
      </w:r>
      <w:r w:rsidR="000132F7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до слідчого судді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132F7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При цьому, </w:t>
      </w:r>
      <w:r w:rsidR="00AD60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за наявності ризиків втечі особи, фактично </w:t>
      </w:r>
      <w:r w:rsidR="007356F3" w:rsidRPr="00247BDE">
        <w:rPr>
          <w:rFonts w:ascii="Times New Roman" w:hAnsi="Times New Roman" w:cs="Times New Roman"/>
          <w:sz w:val="24"/>
          <w:szCs w:val="24"/>
          <w:lang w:val="uk-UA"/>
        </w:rPr>
        <w:t>втрачається будь-який с</w:t>
      </w:r>
      <w:r w:rsidR="00EA51E5" w:rsidRPr="00247BDE">
        <w:rPr>
          <w:rFonts w:ascii="Times New Roman" w:hAnsi="Times New Roman" w:cs="Times New Roman"/>
          <w:sz w:val="24"/>
          <w:szCs w:val="24"/>
          <w:lang w:val="uk-UA"/>
        </w:rPr>
        <w:t>енс застосування цієї процедури й повідомлена про підозру особа має можливість безперешкодно втекти.</w:t>
      </w:r>
      <w:r w:rsidR="000132F7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Друга пов’язана із тим, що </w:t>
      </w:r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про підозру нерідко здійснюється за декілька днів до направлення обвинувального акту до суду. Водночас, згідно з практикою ЄСПЛ, повідомлення обвинувачення має бути передане обвинуваченому настільки вчасно, аби він міг підготувати свій захист, що є головною метою статті 6 § 3 </w:t>
      </w:r>
      <w:r w:rsidR="000D7A1D" w:rsidRPr="00247BDE">
        <w:rPr>
          <w:rFonts w:ascii="Times New Roman" w:hAnsi="Times New Roman" w:cs="Times New Roman"/>
          <w:sz w:val="24"/>
          <w:szCs w:val="24"/>
        </w:rPr>
        <w:t>a</w:t>
      </w:r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="000D7A1D" w:rsidRPr="00247BDE">
        <w:rPr>
          <w:rFonts w:ascii="Times New Roman" w:hAnsi="Times New Roman" w:cs="Times New Roman"/>
          <w:sz w:val="24"/>
          <w:szCs w:val="24"/>
        </w:rPr>
        <w:t>C</w:t>
      </w:r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>. проти Італії). Адже потребує вирішення проблема відсутності в пері</w:t>
      </w:r>
      <w:bookmarkStart w:id="0" w:name="_GoBack"/>
      <w:bookmarkEnd w:id="0"/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од досудового розслідування достатнього часу на використання можливостей щодо збирання доказів невинуватості, доказів наявності пом’якшуючих обставин, тощо. Фактично йдеться про обмеження підозрюваного в можливостях реалізації права на захист саме під час досудового розслідування, яке особа може реалізувати лише після її повідомлення про підозру в період до оголошення про закінчення досудового розслідування та направлення обвинувального </w:t>
      </w:r>
      <w:proofErr w:type="spellStart"/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до суду. </w:t>
      </w:r>
    </w:p>
    <w:p w14:paraId="29BE76B4" w14:textId="387FD71F" w:rsidR="00E70FAF" w:rsidRPr="00247BDE" w:rsidRDefault="000D7A1D" w:rsidP="00247BD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b/>
          <w:sz w:val="24"/>
          <w:szCs w:val="24"/>
          <w:lang w:val="uk-UA"/>
        </w:rPr>
        <w:t>Щ</w:t>
      </w:r>
      <w:r w:rsidR="000132F7" w:rsidRPr="00247BDE">
        <w:rPr>
          <w:rFonts w:ascii="Times New Roman" w:hAnsi="Times New Roman" w:cs="Times New Roman"/>
          <w:b/>
          <w:sz w:val="24"/>
          <w:szCs w:val="24"/>
          <w:lang w:val="uk-UA"/>
        </w:rPr>
        <w:t>о ми пропонуємо?</w:t>
      </w:r>
    </w:p>
    <w:p w14:paraId="5EA6D2B0" w14:textId="13A6FE88" w:rsidR="00E70FAF" w:rsidRPr="00247BDE" w:rsidRDefault="00E70FAF" w:rsidP="00247BD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>Згідно запропонованого концепту, підозра розглядається у значенні, яке є тотожнім до поняття обвинувачення, що використовується у практиці ЄСПЛ (як «офіційне повідомлення відповідного державного органу, яке висловлює підозру у скоєнні кримінального правопорушення» (</w:t>
      </w:r>
      <w:proofErr w:type="spellStart"/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>Deweer</w:t>
      </w:r>
      <w:proofErr w:type="spellEnd"/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проти Бельгії, §§ 42 і 46; </w:t>
      </w:r>
      <w:proofErr w:type="spellStart"/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>Eckle</w:t>
      </w:r>
      <w:proofErr w:type="spellEnd"/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проти Німеччини, § 73).</w:t>
      </w:r>
      <w:r w:rsidR="001F2458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Відповідно, повідомлення про підозру розглядається в контексті висунення особі обвинувачення, а статус підозрюваної особи дозволяє її розглядати як обвинувачену в контексті практики ЄСПЛ.</w:t>
      </w:r>
      <w:r w:rsidR="00EA7D73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По-суті йдеться про мінімальний стандарт доведення</w:t>
      </w:r>
      <w:r w:rsidR="002D5D07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EA7D73" w:rsidRPr="00247BDE">
        <w:rPr>
          <w:rFonts w:ascii="Times New Roman" w:hAnsi="Times New Roman" w:cs="Times New Roman"/>
          <w:sz w:val="24"/>
          <w:szCs w:val="24"/>
          <w:lang w:val="uk-UA"/>
        </w:rPr>
        <w:t>є нижчим від того, що матиме місце на етапі направлення обвинувального акту до суду та не вимагає доведеності поза розумним сумнівом.</w:t>
      </w:r>
    </w:p>
    <w:p w14:paraId="03E89C1C" w14:textId="087F5078" w:rsidR="00E70FAF" w:rsidRDefault="00E70FAF" w:rsidP="00247BD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853B3C" w:rsidRPr="00247BDE">
        <w:rPr>
          <w:rFonts w:ascii="Times New Roman" w:hAnsi="Times New Roman" w:cs="Times New Roman"/>
          <w:b/>
          <w:sz w:val="24"/>
          <w:szCs w:val="24"/>
          <w:lang w:val="uk-UA"/>
        </w:rPr>
        <w:t>Підозрюван</w:t>
      </w:r>
      <w:r w:rsidR="00B87EE6" w:rsidRPr="00247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ою є </w:t>
      </w:r>
      <w:r w:rsidR="00853B3C" w:rsidRPr="00247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особа, </w:t>
      </w:r>
      <w:r w:rsidR="001409C2" w:rsidRPr="00247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якої наявні обґрунтовані підстави вважати, що вона причетна до вчинення кримінального правопорушення та </w:t>
      </w:r>
      <w:r w:rsidR="00853B3C" w:rsidRPr="00247BDE">
        <w:rPr>
          <w:rFonts w:ascii="Times New Roman" w:hAnsi="Times New Roman" w:cs="Times New Roman"/>
          <w:b/>
          <w:sz w:val="24"/>
          <w:szCs w:val="24"/>
          <w:lang w:val="uk-UA"/>
        </w:rPr>
        <w:t>щодо якої складене та зареєстроване повідомлення про підозру</w:t>
      </w:r>
      <w:r w:rsidR="006720AB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(необхідні зміни до ст. 42 КПК). </w:t>
      </w:r>
      <w:r w:rsidR="0061098A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ED6F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моменту реєстрації </w:t>
      </w:r>
      <w:r w:rsidR="004E3BEA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такого </w:t>
      </w:r>
      <w:r w:rsidR="00ED6F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особа набуває прав підозрюваної особи. </w:t>
      </w:r>
      <w:r w:rsidR="0061098A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З цього ж </w:t>
      </w:r>
      <w:r w:rsidR="006720AB" w:rsidRPr="00247BDE">
        <w:rPr>
          <w:rFonts w:ascii="Times New Roman" w:hAnsi="Times New Roman" w:cs="Times New Roman"/>
          <w:sz w:val="24"/>
          <w:szCs w:val="24"/>
          <w:lang w:val="uk-UA"/>
        </w:rPr>
        <w:t>моменту починається притягнення особи до кримінальної відповідальності</w:t>
      </w:r>
      <w:r w:rsidR="001409C2" w:rsidRPr="00247BDE">
        <w:rPr>
          <w:rFonts w:ascii="Times New Roman" w:hAnsi="Times New Roman" w:cs="Times New Roman"/>
          <w:sz w:val="24"/>
          <w:szCs w:val="24"/>
          <w:lang w:val="uk-UA"/>
        </w:rPr>
        <w:t>, як стадія кримінального провадження (зміни до п. 14 ч. 1 ст. 3 КПК</w:t>
      </w:r>
      <w:r w:rsidR="00D864AF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1409C2" w:rsidRPr="00247BD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864AF" w:rsidRPr="00247BDE">
        <w:rPr>
          <w:rFonts w:ascii="Times New Roman" w:hAnsi="Times New Roman" w:cs="Times New Roman"/>
          <w:sz w:val="24"/>
          <w:szCs w:val="24"/>
          <w:lang w:val="uk-UA"/>
        </w:rPr>
        <w:t>, а також обраховуються строки досудового розслідування (зміни до ст. 219 КПК України).</w:t>
      </w:r>
      <w:r w:rsidR="00ED6F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EBF627" w14:textId="0DB99E77" w:rsidR="00B64CBA" w:rsidRPr="00247BDE" w:rsidRDefault="00E70FAF" w:rsidP="00247BD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64CBA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Якщо у прокурора достатньо доказів </w:t>
      </w:r>
      <w:r w:rsidR="009D6EFC" w:rsidRPr="00247BDE">
        <w:rPr>
          <w:rFonts w:ascii="Times New Roman" w:hAnsi="Times New Roman" w:cs="Times New Roman"/>
          <w:sz w:val="24"/>
          <w:szCs w:val="24"/>
          <w:lang w:val="uk-UA"/>
        </w:rPr>
        <w:t>вважати особу</w:t>
      </w:r>
      <w:r w:rsidR="00B64CBA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причетною до вчинення кримінального правопорушення, то він складає та реєструє в ЄРДР повідомлення про підозру з подальшим обов’язком </w:t>
      </w:r>
      <w:r w:rsidR="00B64CBA" w:rsidRPr="00247BDE">
        <w:rPr>
          <w:rFonts w:ascii="Times New Roman" w:hAnsi="Times New Roman" w:cs="Times New Roman"/>
          <w:b/>
          <w:sz w:val="24"/>
          <w:szCs w:val="24"/>
          <w:lang w:val="uk-UA"/>
        </w:rPr>
        <w:t>негайно</w:t>
      </w:r>
      <w:r w:rsidR="00B64CBA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його вручити, за виключенням випадків «ордерного» затримання, </w:t>
      </w:r>
      <w:r w:rsidR="00B64CBA" w:rsidRPr="00247BDE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коли підозра має бути врученою одразу після її затримання (ст. 276-278 КПК).</w:t>
      </w:r>
      <w:r w:rsidR="00E936D2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При цьому</w:t>
      </w:r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36D2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4CBA" w:rsidRPr="00247BDE">
        <w:rPr>
          <w:rFonts w:ascii="Times New Roman" w:hAnsi="Times New Roman" w:cs="Times New Roman"/>
          <w:sz w:val="24"/>
          <w:szCs w:val="24"/>
          <w:lang w:val="uk-UA"/>
        </w:rPr>
        <w:t>у випадках фактичного ставлення до особи як підозрюваної</w:t>
      </w:r>
      <w:r w:rsidR="00E936D2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або суттєвого втручання в її права і свободи</w:t>
      </w:r>
      <w:r w:rsidR="00B64CBA" w:rsidRPr="00247BDE">
        <w:rPr>
          <w:rFonts w:ascii="Times New Roman" w:hAnsi="Times New Roman" w:cs="Times New Roman"/>
          <w:sz w:val="24"/>
          <w:szCs w:val="24"/>
          <w:lang w:val="uk-UA"/>
        </w:rPr>
        <w:t>, що полягає в:</w:t>
      </w:r>
    </w:p>
    <w:p w14:paraId="3EC08128" w14:textId="17A7AD15" w:rsidR="00B64CBA" w:rsidRPr="00247BDE" w:rsidRDefault="00B64CBA" w:rsidP="00B87EE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sz w:val="24"/>
          <w:szCs w:val="24"/>
          <w:lang w:val="uk-UA"/>
        </w:rPr>
        <w:t>- поданні стороною обвинувачення до суду клопотань про тимчасовий доступ до речей і документів, арешт майна, дозвіл на затримання з метою приводу, обшуку;</w:t>
      </w:r>
    </w:p>
    <w:p w14:paraId="737686E8" w14:textId="094F1EA1" w:rsidR="00B64CBA" w:rsidRPr="00247BDE" w:rsidRDefault="00B64CBA" w:rsidP="00B87EE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sz w:val="24"/>
          <w:szCs w:val="24"/>
          <w:lang w:val="uk-UA"/>
        </w:rPr>
        <w:t>- зверненні за міжнародною правовою допомогою;</w:t>
      </w:r>
    </w:p>
    <w:p w14:paraId="46BCE128" w14:textId="3FE64BA1" w:rsidR="00B64CBA" w:rsidRPr="00247BDE" w:rsidRDefault="00B64CBA" w:rsidP="00B87EE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sz w:val="24"/>
          <w:szCs w:val="24"/>
          <w:lang w:val="uk-UA"/>
        </w:rPr>
        <w:t>- оприлюдненні повідомлень, у яких міститься твердження про те, що у сторони обвинувачення наявні підстави вважати, що ос</w:t>
      </w:r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>ба причетна до вчинення кримінального правопорушення,</w:t>
      </w:r>
    </w:p>
    <w:p w14:paraId="557B0973" w14:textId="77777777" w:rsidR="00E70FAF" w:rsidRDefault="00E936D2" w:rsidP="00247BD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прокурор зобов’язаний </w:t>
      </w:r>
      <w:r w:rsidR="00B87EE6" w:rsidRPr="00247BDE">
        <w:rPr>
          <w:rFonts w:ascii="Times New Roman" w:hAnsi="Times New Roman" w:cs="Times New Roman"/>
          <w:b/>
          <w:sz w:val="24"/>
          <w:szCs w:val="24"/>
          <w:lang w:val="uk-UA"/>
        </w:rPr>
        <w:t>невідкладно</w:t>
      </w:r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11E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скласти, зареєструвати та 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>вручити письмове повідомлення про підозру</w:t>
      </w:r>
      <w:r w:rsidR="00D9511E" w:rsidRPr="00247BD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0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93DBE0" w14:textId="358105D5" w:rsidR="00E70FAF" w:rsidRDefault="00D9511E" w:rsidP="00247BDE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B87EE6" w:rsidRPr="00247B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до моменту </w:t>
      </w:r>
      <w:r w:rsidR="00AC68D8" w:rsidRPr="00247BDE">
        <w:rPr>
          <w:rFonts w:ascii="Times New Roman" w:hAnsi="Times New Roman" w:cs="Times New Roman"/>
          <w:sz w:val="24"/>
          <w:szCs w:val="24"/>
          <w:lang w:val="uk-UA"/>
        </w:rPr>
        <w:t>визнання особи підозрюваною (тобто до реєстрації повідомлення про підозру в ЄРДР) дозволяється застосування лише методів, що не передбачають очевидного</w:t>
      </w:r>
      <w:r w:rsidR="008F2485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AC68D8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суттєвого втручання в її права і свободи: </w:t>
      </w:r>
      <w:r w:rsidRPr="00247BDE">
        <w:rPr>
          <w:rFonts w:ascii="Times New Roman" w:hAnsi="Times New Roman" w:cs="Times New Roman"/>
          <w:sz w:val="24"/>
          <w:szCs w:val="24"/>
          <w:lang w:val="uk-UA"/>
        </w:rPr>
        <w:t>подання клопотань про проведення експертиз, надсилання запитів, проведення НСРД тощо.</w:t>
      </w:r>
    </w:p>
    <w:p w14:paraId="73637BDE" w14:textId="754032D8" w:rsidR="00E70FAF" w:rsidRDefault="00E70FAF" w:rsidP="00247BDE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352104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У випадках, якщо 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>особа фактично дізнається про</w:t>
      </w:r>
      <w:r w:rsidR="00440280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вчинення таких дій щодо неї без повідомлення про підозру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0280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їй надаватиметься можливість звернення до слідчого</w:t>
      </w:r>
      <w:r w:rsidR="00383367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судді</w:t>
      </w:r>
      <w:r w:rsidR="00440280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</w:t>
      </w:r>
      <w:r w:rsidR="00440280" w:rsidRPr="00247BDE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сторон</w:t>
      </w:r>
      <w:r w:rsidR="00440280" w:rsidRPr="00247BD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обвинувачення вручити повідомлення про підозру. Водночас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>вручення повідомлення про підозру всупереч вимогам КПК України тяг</w:t>
      </w:r>
      <w:r w:rsidR="00EA51E5">
        <w:rPr>
          <w:rFonts w:ascii="Times New Roman" w:hAnsi="Times New Roman" w:cs="Times New Roman"/>
          <w:sz w:val="24"/>
          <w:szCs w:val="24"/>
          <w:lang w:val="uk-UA"/>
        </w:rPr>
        <w:t>тиме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за собою дисциплінарну відповідальність</w:t>
      </w:r>
      <w:r w:rsidR="00440280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прокурора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55D1CB" w14:textId="3AEB7BA2" w:rsidR="00E70FAF" w:rsidRDefault="00E70FAF" w:rsidP="00247BDE">
      <w:pPr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ED6F26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Затриманий за ст. ст. 207-208 користується всіма правами підозрюваного з моменту затримання, проте статусу підозрюваного набуває з моменту </w:t>
      </w:r>
      <w:r w:rsidR="0061098A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складення </w:t>
      </w:r>
      <w:r w:rsidR="001409C2" w:rsidRPr="00247BDE">
        <w:rPr>
          <w:rFonts w:ascii="Times New Roman" w:hAnsi="Times New Roman" w:cs="Times New Roman"/>
          <w:sz w:val="24"/>
          <w:szCs w:val="24"/>
          <w:lang w:val="uk-UA"/>
        </w:rPr>
        <w:t>повідомлення про підозру та її реєстрації</w:t>
      </w:r>
      <w:r w:rsidR="00ED6F26" w:rsidRPr="00247BD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0E10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Якщо протягом 24 годин з моменту затримання підозра</w:t>
      </w:r>
      <w:r w:rsidR="00021EB8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(припущення) у вчиненні</w:t>
      </w:r>
      <w:r w:rsidR="00390E10" w:rsidRPr="00247BDE">
        <w:rPr>
          <w:rFonts w:ascii="Times New Roman" w:hAnsi="Times New Roman" w:cs="Times New Roman"/>
          <w:sz w:val="24"/>
          <w:szCs w:val="24"/>
          <w:lang w:val="uk-UA"/>
        </w:rPr>
        <w:t xml:space="preserve"> кримінального правопорушення не була підтверджена, то особа звільняється.</w:t>
      </w:r>
    </w:p>
    <w:p w14:paraId="3012DA62" w14:textId="7D86C912" w:rsidR="000D7A1D" w:rsidRPr="00247BDE" w:rsidRDefault="00E70FAF" w:rsidP="00247BDE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>Пропонується встановлення заборони стороні обвинувачення закінчувати досудове розслідування до спливу строків без згоди сторони захисту. В цьому випадку можливість сторони захисту реалізувати свої права діє в межах встановлених КПК України строків досудового розслідування, які починають обраховуватись з моменту складення та реєстрації повідомлення про підозру. Таким чином, у сторони захисту за будь-яких випадків повідомлення про підозру наявні близько двох місяців на реалізацію права на захист</w:t>
      </w:r>
      <w:r w:rsidR="000D7A1D" w:rsidRPr="00247B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35673E" w14:textId="77777777" w:rsidR="000132F7" w:rsidRPr="00247BDE" w:rsidRDefault="000132F7" w:rsidP="00247BDE">
      <w:pPr>
        <w:pStyle w:val="a3"/>
        <w:ind w:left="709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6A758" w14:textId="1E8F5418" w:rsidR="000132F7" w:rsidRPr="00247BDE" w:rsidRDefault="000132F7" w:rsidP="00247BDE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BDE">
        <w:rPr>
          <w:rFonts w:ascii="Times New Roman" w:hAnsi="Times New Roman" w:cs="Times New Roman"/>
          <w:b/>
          <w:sz w:val="24"/>
          <w:szCs w:val="24"/>
          <w:lang w:val="uk-UA"/>
        </w:rPr>
        <w:t>За наявності коментарів до цього документу</w:t>
      </w:r>
      <w:r w:rsidR="00805FF5" w:rsidRPr="00247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просимо надіслати їх на адресу </w:t>
      </w:r>
      <w:proofErr w:type="spellStart"/>
      <w:r w:rsidR="00805FF5" w:rsidRPr="00247BDE">
        <w:rPr>
          <w:rFonts w:ascii="Times New Roman" w:hAnsi="Times New Roman" w:cs="Times New Roman"/>
          <w:b/>
          <w:sz w:val="24"/>
          <w:szCs w:val="24"/>
          <w:lang w:val="en-US"/>
        </w:rPr>
        <w:t>justtalk</w:t>
      </w:r>
      <w:proofErr w:type="spellEnd"/>
      <w:r w:rsidR="00805FF5" w:rsidRPr="00247BD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5FF5" w:rsidRPr="00247BDE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proofErr w:type="spellEnd"/>
      <w:r w:rsidR="00805FF5" w:rsidRPr="00247BDE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805FF5" w:rsidRPr="00247BDE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="00805FF5" w:rsidRPr="00247BDE">
        <w:rPr>
          <w:rFonts w:ascii="Times New Roman" w:hAnsi="Times New Roman" w:cs="Times New Roman"/>
          <w:b/>
          <w:sz w:val="24"/>
          <w:szCs w:val="24"/>
        </w:rPr>
        <w:t>.</w:t>
      </w:r>
      <w:r w:rsidR="00805FF5" w:rsidRPr="00247BDE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14:paraId="470E8B13" w14:textId="77777777" w:rsidR="000132F7" w:rsidRDefault="000132F7" w:rsidP="00247B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0C4A7" w14:textId="77777777" w:rsidR="00944739" w:rsidRPr="00B87EE6" w:rsidRDefault="00944739" w:rsidP="000D7A1D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sectPr w:rsidR="00944739" w:rsidRPr="00B87EE6" w:rsidSect="00EC14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007"/>
    <w:multiLevelType w:val="hybridMultilevel"/>
    <w:tmpl w:val="F1888CEA"/>
    <w:lvl w:ilvl="0" w:tplc="5B321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242FA"/>
    <w:multiLevelType w:val="hybridMultilevel"/>
    <w:tmpl w:val="3F6A2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41D74"/>
    <w:multiLevelType w:val="hybridMultilevel"/>
    <w:tmpl w:val="D61EBF9C"/>
    <w:lvl w:ilvl="0" w:tplc="2864F97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D7DD6"/>
    <w:multiLevelType w:val="hybridMultilevel"/>
    <w:tmpl w:val="0F267FF2"/>
    <w:lvl w:ilvl="0" w:tplc="1278F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97"/>
    <w:rsid w:val="000132F7"/>
    <w:rsid w:val="00013955"/>
    <w:rsid w:val="00014950"/>
    <w:rsid w:val="00021EB8"/>
    <w:rsid w:val="000409DD"/>
    <w:rsid w:val="00051AAC"/>
    <w:rsid w:val="00051E3C"/>
    <w:rsid w:val="0005605D"/>
    <w:rsid w:val="000703E5"/>
    <w:rsid w:val="0007470B"/>
    <w:rsid w:val="000D3595"/>
    <w:rsid w:val="000D7A1D"/>
    <w:rsid w:val="000E4FF5"/>
    <w:rsid w:val="000F367A"/>
    <w:rsid w:val="00102ABE"/>
    <w:rsid w:val="001274BD"/>
    <w:rsid w:val="001409C2"/>
    <w:rsid w:val="001870D5"/>
    <w:rsid w:val="00191E0B"/>
    <w:rsid w:val="001A7AD7"/>
    <w:rsid w:val="001B3AF5"/>
    <w:rsid w:val="001D1006"/>
    <w:rsid w:val="001E051A"/>
    <w:rsid w:val="001F2458"/>
    <w:rsid w:val="002458E9"/>
    <w:rsid w:val="00247BDE"/>
    <w:rsid w:val="0026103C"/>
    <w:rsid w:val="00276340"/>
    <w:rsid w:val="0028043C"/>
    <w:rsid w:val="0028216E"/>
    <w:rsid w:val="002B0069"/>
    <w:rsid w:val="002C6975"/>
    <w:rsid w:val="002D5D07"/>
    <w:rsid w:val="002E012E"/>
    <w:rsid w:val="00316F6D"/>
    <w:rsid w:val="00330F14"/>
    <w:rsid w:val="00335B24"/>
    <w:rsid w:val="00335F24"/>
    <w:rsid w:val="003511B3"/>
    <w:rsid w:val="00352104"/>
    <w:rsid w:val="00370096"/>
    <w:rsid w:val="00375081"/>
    <w:rsid w:val="00383367"/>
    <w:rsid w:val="00390E10"/>
    <w:rsid w:val="003A4E06"/>
    <w:rsid w:val="003D5E39"/>
    <w:rsid w:val="003E039C"/>
    <w:rsid w:val="0041275E"/>
    <w:rsid w:val="004254F7"/>
    <w:rsid w:val="0042585A"/>
    <w:rsid w:val="004377FF"/>
    <w:rsid w:val="00440280"/>
    <w:rsid w:val="0046446D"/>
    <w:rsid w:val="004728CF"/>
    <w:rsid w:val="004A2BFC"/>
    <w:rsid w:val="004D2DB5"/>
    <w:rsid w:val="004E3BEA"/>
    <w:rsid w:val="004F086F"/>
    <w:rsid w:val="004F6E74"/>
    <w:rsid w:val="005271DD"/>
    <w:rsid w:val="005B6DFB"/>
    <w:rsid w:val="005E3B3A"/>
    <w:rsid w:val="005E70C0"/>
    <w:rsid w:val="00603CCE"/>
    <w:rsid w:val="0061098A"/>
    <w:rsid w:val="00612D23"/>
    <w:rsid w:val="00656958"/>
    <w:rsid w:val="00667666"/>
    <w:rsid w:val="00671554"/>
    <w:rsid w:val="006720AB"/>
    <w:rsid w:val="006C27BF"/>
    <w:rsid w:val="006C7BFD"/>
    <w:rsid w:val="006E4078"/>
    <w:rsid w:val="007126A4"/>
    <w:rsid w:val="00722E76"/>
    <w:rsid w:val="0072360B"/>
    <w:rsid w:val="00731574"/>
    <w:rsid w:val="007356F3"/>
    <w:rsid w:val="0074671E"/>
    <w:rsid w:val="00757660"/>
    <w:rsid w:val="007A7902"/>
    <w:rsid w:val="007C25E4"/>
    <w:rsid w:val="007F0561"/>
    <w:rsid w:val="00805F67"/>
    <w:rsid w:val="00805FF5"/>
    <w:rsid w:val="00823056"/>
    <w:rsid w:val="00834526"/>
    <w:rsid w:val="00846418"/>
    <w:rsid w:val="00853B3C"/>
    <w:rsid w:val="0088153D"/>
    <w:rsid w:val="00887C29"/>
    <w:rsid w:val="0089201E"/>
    <w:rsid w:val="008B60A9"/>
    <w:rsid w:val="008D3622"/>
    <w:rsid w:val="008F2485"/>
    <w:rsid w:val="00907371"/>
    <w:rsid w:val="00922A9E"/>
    <w:rsid w:val="00944739"/>
    <w:rsid w:val="0095048A"/>
    <w:rsid w:val="00997657"/>
    <w:rsid w:val="009D6EFC"/>
    <w:rsid w:val="009E20DF"/>
    <w:rsid w:val="009E2B8F"/>
    <w:rsid w:val="00A01264"/>
    <w:rsid w:val="00A03241"/>
    <w:rsid w:val="00A20FB0"/>
    <w:rsid w:val="00A27FC8"/>
    <w:rsid w:val="00A4086A"/>
    <w:rsid w:val="00A437E4"/>
    <w:rsid w:val="00A50179"/>
    <w:rsid w:val="00A71A00"/>
    <w:rsid w:val="00A77475"/>
    <w:rsid w:val="00A8317E"/>
    <w:rsid w:val="00AA162D"/>
    <w:rsid w:val="00AC68D8"/>
    <w:rsid w:val="00AD251A"/>
    <w:rsid w:val="00AD6026"/>
    <w:rsid w:val="00AD7896"/>
    <w:rsid w:val="00B223C6"/>
    <w:rsid w:val="00B331BC"/>
    <w:rsid w:val="00B44A97"/>
    <w:rsid w:val="00B473FC"/>
    <w:rsid w:val="00B50B8F"/>
    <w:rsid w:val="00B64CBA"/>
    <w:rsid w:val="00B87EE6"/>
    <w:rsid w:val="00B91F86"/>
    <w:rsid w:val="00BD1914"/>
    <w:rsid w:val="00BD5320"/>
    <w:rsid w:val="00BD77A1"/>
    <w:rsid w:val="00BF51C3"/>
    <w:rsid w:val="00C26753"/>
    <w:rsid w:val="00C642B5"/>
    <w:rsid w:val="00C66DDD"/>
    <w:rsid w:val="00CA4B9B"/>
    <w:rsid w:val="00CC2D93"/>
    <w:rsid w:val="00CC43CB"/>
    <w:rsid w:val="00CC6BBF"/>
    <w:rsid w:val="00CD6573"/>
    <w:rsid w:val="00CE3EEE"/>
    <w:rsid w:val="00CF3011"/>
    <w:rsid w:val="00D10159"/>
    <w:rsid w:val="00D25902"/>
    <w:rsid w:val="00D272FE"/>
    <w:rsid w:val="00D3532B"/>
    <w:rsid w:val="00D3652E"/>
    <w:rsid w:val="00D51890"/>
    <w:rsid w:val="00D55C17"/>
    <w:rsid w:val="00D81E44"/>
    <w:rsid w:val="00D864AF"/>
    <w:rsid w:val="00D9511E"/>
    <w:rsid w:val="00DC1229"/>
    <w:rsid w:val="00DC3415"/>
    <w:rsid w:val="00DE6349"/>
    <w:rsid w:val="00E21636"/>
    <w:rsid w:val="00E21F41"/>
    <w:rsid w:val="00E70FAF"/>
    <w:rsid w:val="00E73EDD"/>
    <w:rsid w:val="00E936D2"/>
    <w:rsid w:val="00EA51E5"/>
    <w:rsid w:val="00EA7D73"/>
    <w:rsid w:val="00EB2D97"/>
    <w:rsid w:val="00EC14DC"/>
    <w:rsid w:val="00EC48A0"/>
    <w:rsid w:val="00ED6F26"/>
    <w:rsid w:val="00EE1F80"/>
    <w:rsid w:val="00F10056"/>
    <w:rsid w:val="00F55445"/>
    <w:rsid w:val="00F66E39"/>
    <w:rsid w:val="00F90C35"/>
    <w:rsid w:val="00FA7F59"/>
    <w:rsid w:val="00FB718C"/>
    <w:rsid w:val="00FC3915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D11A0"/>
  <w15:docId w15:val="{ED98E07A-8460-4F2B-882D-49CD6D2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A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09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09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09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09C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09C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09C2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A7747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A77475"/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paragraph" w:styleId="ad">
    <w:name w:val="Revision"/>
    <w:hidden/>
    <w:uiPriority w:val="99"/>
    <w:semiHidden/>
    <w:rsid w:val="00CC6BBF"/>
    <w:pPr>
      <w:spacing w:after="0" w:line="240" w:lineRule="auto"/>
    </w:pPr>
  </w:style>
  <w:style w:type="paragraph" w:customStyle="1" w:styleId="rvps2">
    <w:name w:val="rvps2"/>
    <w:basedOn w:val="a"/>
    <w:rsid w:val="006715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C2B1-F648-41F9-9F04-D421D467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Viktor</cp:lastModifiedBy>
  <cp:revision>3</cp:revision>
  <cp:lastPrinted>2019-04-01T08:34:00Z</cp:lastPrinted>
  <dcterms:created xsi:type="dcterms:W3CDTF">2019-04-02T14:41:00Z</dcterms:created>
  <dcterms:modified xsi:type="dcterms:W3CDTF">2019-04-02T14:42:00Z</dcterms:modified>
</cp:coreProperties>
</file>