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074" w:rsidRPr="006F5A44" w:rsidRDefault="006F5A44">
      <w:pPr>
        <w:rPr>
          <w:b/>
          <w:bCs/>
          <w:lang w:val="uk-UA"/>
        </w:rPr>
      </w:pPr>
      <w:r>
        <w:rPr>
          <w:b/>
          <w:bCs/>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40.05pt;margin-top:-10.15pt;width:226.45pt;height:69.8pt;z-index:251658240">
            <v:imagedata r:id="rId8" o:title=""/>
            <w10:wrap type="square"/>
          </v:shape>
          <o:OLEObject Type="Embed" ProgID="PBrush" ShapeID="_x0000_s1026" DrawAspect="Content" ObjectID="_1491654593" r:id="rId9"/>
        </w:pict>
      </w:r>
    </w:p>
    <w:p w:rsidR="00432074" w:rsidRPr="00432074" w:rsidRDefault="00432074" w:rsidP="00432074">
      <w:pPr>
        <w:jc w:val="center"/>
        <w:rPr>
          <w:b/>
          <w:bCs/>
          <w:lang w:val="en-US"/>
        </w:rPr>
      </w:pPr>
    </w:p>
    <w:p w:rsidR="00432074" w:rsidRDefault="00432074" w:rsidP="00432074">
      <w:pPr>
        <w:jc w:val="center"/>
        <w:rPr>
          <w:sz w:val="48"/>
          <w:szCs w:val="48"/>
          <w:lang w:val="uk-UA"/>
        </w:rPr>
      </w:pPr>
    </w:p>
    <w:p w:rsidR="00432074" w:rsidRDefault="00432074" w:rsidP="00432074">
      <w:pPr>
        <w:jc w:val="center"/>
        <w:rPr>
          <w:sz w:val="48"/>
          <w:szCs w:val="48"/>
          <w:lang w:val="uk-UA"/>
        </w:rPr>
      </w:pPr>
      <w:bookmarkStart w:id="0" w:name="_GoBack"/>
      <w:bookmarkEnd w:id="0"/>
    </w:p>
    <w:p w:rsidR="00432074" w:rsidRDefault="00432074" w:rsidP="00432074">
      <w:pPr>
        <w:jc w:val="center"/>
        <w:rPr>
          <w:sz w:val="48"/>
          <w:szCs w:val="48"/>
          <w:lang w:val="uk-UA"/>
        </w:rPr>
      </w:pPr>
    </w:p>
    <w:p w:rsidR="00432074" w:rsidRDefault="00432074" w:rsidP="00432074">
      <w:pPr>
        <w:jc w:val="center"/>
        <w:rPr>
          <w:sz w:val="48"/>
          <w:szCs w:val="48"/>
          <w:lang w:val="uk-UA"/>
        </w:rPr>
      </w:pPr>
    </w:p>
    <w:p w:rsidR="00432074" w:rsidRDefault="00432074" w:rsidP="00432074">
      <w:pPr>
        <w:jc w:val="center"/>
        <w:rPr>
          <w:sz w:val="48"/>
          <w:szCs w:val="48"/>
          <w:lang w:val="uk-UA"/>
        </w:rPr>
      </w:pPr>
    </w:p>
    <w:p w:rsidR="00432074" w:rsidRDefault="00432074" w:rsidP="00432074">
      <w:pPr>
        <w:jc w:val="center"/>
        <w:rPr>
          <w:sz w:val="48"/>
          <w:szCs w:val="48"/>
          <w:lang w:val="uk-UA"/>
        </w:rPr>
      </w:pPr>
      <w:r w:rsidRPr="00432074">
        <w:rPr>
          <w:sz w:val="48"/>
          <w:szCs w:val="48"/>
        </w:rPr>
        <w:t>Зв</w:t>
      </w:r>
      <w:proofErr w:type="spellStart"/>
      <w:r w:rsidRPr="00432074">
        <w:rPr>
          <w:sz w:val="48"/>
          <w:szCs w:val="48"/>
          <w:lang w:val="uk-UA"/>
        </w:rPr>
        <w:t>іт</w:t>
      </w:r>
      <w:proofErr w:type="spellEnd"/>
      <w:r w:rsidRPr="00432074">
        <w:rPr>
          <w:sz w:val="48"/>
          <w:szCs w:val="48"/>
          <w:lang w:val="uk-UA"/>
        </w:rPr>
        <w:t xml:space="preserve"> за результатами громадського моніторингу доступу тимчасових переселенці</w:t>
      </w:r>
      <w:proofErr w:type="gramStart"/>
      <w:r w:rsidRPr="00432074">
        <w:rPr>
          <w:sz w:val="48"/>
          <w:szCs w:val="48"/>
          <w:lang w:val="uk-UA"/>
        </w:rPr>
        <w:t>в</w:t>
      </w:r>
      <w:proofErr w:type="gramEnd"/>
      <w:r w:rsidRPr="00432074">
        <w:rPr>
          <w:sz w:val="48"/>
          <w:szCs w:val="48"/>
          <w:lang w:val="uk-UA"/>
        </w:rPr>
        <w:t xml:space="preserve"> до освіти</w:t>
      </w:r>
      <w:r w:rsidRPr="00432074">
        <w:rPr>
          <w:sz w:val="48"/>
          <w:szCs w:val="48"/>
          <w:lang w:val="uk-UA"/>
        </w:rPr>
        <w:br/>
      </w:r>
    </w:p>
    <w:p w:rsidR="00432074" w:rsidRDefault="00432074" w:rsidP="00432074">
      <w:pPr>
        <w:jc w:val="center"/>
        <w:rPr>
          <w:sz w:val="48"/>
          <w:szCs w:val="48"/>
          <w:lang w:val="uk-UA"/>
        </w:rPr>
      </w:pPr>
    </w:p>
    <w:p w:rsidR="00432074" w:rsidRDefault="00432074" w:rsidP="00432074">
      <w:pPr>
        <w:jc w:val="center"/>
        <w:rPr>
          <w:sz w:val="48"/>
          <w:szCs w:val="48"/>
          <w:lang w:val="uk-UA"/>
        </w:rPr>
      </w:pPr>
    </w:p>
    <w:p w:rsidR="00432074" w:rsidRDefault="00432074" w:rsidP="00432074">
      <w:pPr>
        <w:jc w:val="center"/>
        <w:rPr>
          <w:sz w:val="48"/>
          <w:szCs w:val="48"/>
          <w:lang w:val="uk-UA"/>
        </w:rPr>
      </w:pPr>
    </w:p>
    <w:p w:rsidR="00432074" w:rsidRDefault="00432074" w:rsidP="00432074">
      <w:pPr>
        <w:jc w:val="center"/>
        <w:rPr>
          <w:sz w:val="48"/>
          <w:szCs w:val="48"/>
          <w:lang w:val="uk-UA"/>
        </w:rPr>
      </w:pPr>
    </w:p>
    <w:p w:rsidR="00432074" w:rsidRDefault="00432074" w:rsidP="00432074">
      <w:pPr>
        <w:jc w:val="center"/>
        <w:rPr>
          <w:sz w:val="48"/>
          <w:szCs w:val="48"/>
          <w:lang w:val="uk-UA"/>
        </w:rPr>
      </w:pPr>
    </w:p>
    <w:p w:rsidR="00432074" w:rsidRPr="00432074" w:rsidRDefault="00432074" w:rsidP="00432074">
      <w:pPr>
        <w:jc w:val="center"/>
        <w:rPr>
          <w:sz w:val="48"/>
          <w:szCs w:val="48"/>
          <w:lang w:val="uk-UA"/>
        </w:rPr>
      </w:pPr>
    </w:p>
    <w:p w:rsidR="00432074" w:rsidRPr="00432074" w:rsidRDefault="00432074" w:rsidP="00432074">
      <w:pPr>
        <w:jc w:val="center"/>
        <w:rPr>
          <w:sz w:val="28"/>
          <w:szCs w:val="28"/>
          <w:lang w:val="uk-UA"/>
        </w:rPr>
      </w:pPr>
      <w:r w:rsidRPr="00432074">
        <w:rPr>
          <w:sz w:val="28"/>
          <w:szCs w:val="28"/>
          <w:lang w:val="uk-UA"/>
        </w:rPr>
        <w:t>Київ, 2015</w:t>
      </w:r>
      <w:r w:rsidRPr="00432074">
        <w:rPr>
          <w:sz w:val="28"/>
          <w:szCs w:val="28"/>
          <w:lang w:val="uk-UA"/>
        </w:rPr>
        <w:br w:type="page"/>
      </w:r>
    </w:p>
    <w:p w:rsidR="00432074" w:rsidRDefault="00432074">
      <w:pPr>
        <w:rPr>
          <w:lang w:val="uk-UA"/>
        </w:rPr>
      </w:pPr>
    </w:p>
    <w:p w:rsidR="00432074" w:rsidRPr="00432074" w:rsidRDefault="00432074" w:rsidP="00432074">
      <w:pPr>
        <w:jc w:val="center"/>
        <w:rPr>
          <w:lang w:val="uk-UA"/>
        </w:rPr>
      </w:pPr>
    </w:p>
    <w:sdt>
      <w:sdtPr>
        <w:rPr>
          <w:rFonts w:asciiTheme="minorHAnsi" w:eastAsiaTheme="minorHAnsi" w:hAnsiTheme="minorHAnsi" w:cstheme="minorBidi"/>
          <w:b w:val="0"/>
          <w:bCs w:val="0"/>
          <w:color w:val="auto"/>
          <w:sz w:val="22"/>
          <w:szCs w:val="22"/>
          <w:lang w:eastAsia="en-US"/>
        </w:rPr>
        <w:id w:val="-996406679"/>
        <w:docPartObj>
          <w:docPartGallery w:val="Table of Contents"/>
          <w:docPartUnique/>
        </w:docPartObj>
      </w:sdtPr>
      <w:sdtContent>
        <w:p w:rsidR="00432074" w:rsidRPr="00B77B5A" w:rsidRDefault="00432074" w:rsidP="00432074">
          <w:pPr>
            <w:pStyle w:val="a4"/>
            <w:tabs>
              <w:tab w:val="center" w:pos="4677"/>
              <w:tab w:val="right" w:pos="9355"/>
            </w:tabs>
            <w:rPr>
              <w:lang w:val="uk-UA"/>
            </w:rPr>
          </w:pPr>
        </w:p>
        <w:p w:rsidR="000D13D6" w:rsidRPr="00B77B5A" w:rsidRDefault="000D13D6" w:rsidP="000D13D6">
          <w:pPr>
            <w:pStyle w:val="a4"/>
            <w:jc w:val="center"/>
            <w:rPr>
              <w:color w:val="auto"/>
              <w:sz w:val="32"/>
              <w:szCs w:val="24"/>
              <w:lang w:val="uk-UA"/>
            </w:rPr>
          </w:pPr>
          <w:r w:rsidRPr="00B77B5A">
            <w:rPr>
              <w:color w:val="auto"/>
              <w:sz w:val="32"/>
              <w:szCs w:val="24"/>
              <w:lang w:val="uk-UA"/>
            </w:rPr>
            <w:t>зміст</w:t>
          </w:r>
        </w:p>
        <w:p w:rsidR="00B77B5A" w:rsidRPr="00B77B5A" w:rsidRDefault="00D44079">
          <w:pPr>
            <w:pStyle w:val="11"/>
            <w:tabs>
              <w:tab w:val="left" w:pos="440"/>
              <w:tab w:val="right" w:leader="dot" w:pos="9345"/>
            </w:tabs>
            <w:rPr>
              <w:rFonts w:eastAsiaTheme="minorEastAsia"/>
              <w:noProof/>
              <w:sz w:val="24"/>
              <w:szCs w:val="24"/>
              <w:lang w:eastAsia="ru-RU"/>
            </w:rPr>
          </w:pPr>
          <w:r w:rsidRPr="00D44079">
            <w:rPr>
              <w:sz w:val="24"/>
              <w:szCs w:val="24"/>
            </w:rPr>
            <w:fldChar w:fldCharType="begin"/>
          </w:r>
          <w:r w:rsidR="000D13D6" w:rsidRPr="00B77B5A">
            <w:rPr>
              <w:sz w:val="24"/>
              <w:szCs w:val="24"/>
            </w:rPr>
            <w:instrText xml:space="preserve"> TOC \o "1-3" \h \z \u </w:instrText>
          </w:r>
          <w:r w:rsidRPr="00D44079">
            <w:rPr>
              <w:sz w:val="24"/>
              <w:szCs w:val="24"/>
            </w:rPr>
            <w:fldChar w:fldCharType="separate"/>
          </w:r>
          <w:hyperlink w:anchor="_Toc417329176" w:history="1">
            <w:r w:rsidR="00B77B5A" w:rsidRPr="00B77B5A">
              <w:rPr>
                <w:rStyle w:val="a5"/>
                <w:noProof/>
                <w:sz w:val="24"/>
                <w:szCs w:val="24"/>
                <w:lang w:val="uk-UA"/>
              </w:rPr>
              <w:t>I.</w:t>
            </w:r>
            <w:r w:rsidR="00B77B5A" w:rsidRPr="00B77B5A">
              <w:rPr>
                <w:rFonts w:eastAsiaTheme="minorEastAsia"/>
                <w:noProof/>
                <w:sz w:val="24"/>
                <w:szCs w:val="24"/>
                <w:lang w:eastAsia="ru-RU"/>
              </w:rPr>
              <w:tab/>
            </w:r>
            <w:r w:rsidR="00B77B5A" w:rsidRPr="00B77B5A">
              <w:rPr>
                <w:rStyle w:val="a5"/>
                <w:noProof/>
                <w:sz w:val="24"/>
                <w:szCs w:val="24"/>
                <w:shd w:val="clear" w:color="auto" w:fill="FFFFFF"/>
                <w:lang w:val="uk-UA"/>
              </w:rPr>
              <w:t>Інформація про</w:t>
            </w:r>
            <w:r w:rsidR="00B77B5A" w:rsidRPr="00B77B5A">
              <w:rPr>
                <w:rStyle w:val="a5"/>
                <w:noProof/>
                <w:sz w:val="24"/>
                <w:szCs w:val="24"/>
                <w:shd w:val="clear" w:color="auto" w:fill="FFFFFF"/>
                <w:lang w:val="en-US"/>
              </w:rPr>
              <w:t xml:space="preserve"> </w:t>
            </w:r>
            <w:r w:rsidR="00B77B5A" w:rsidRPr="00B77B5A">
              <w:rPr>
                <w:rStyle w:val="a5"/>
                <w:noProof/>
                <w:sz w:val="24"/>
                <w:szCs w:val="24"/>
                <w:shd w:val="clear" w:color="auto" w:fill="FFFFFF"/>
                <w:lang w:val="uk-UA"/>
              </w:rPr>
              <w:t>дослідження</w:t>
            </w:r>
            <w:r w:rsidR="00B77B5A" w:rsidRPr="00B77B5A">
              <w:rPr>
                <w:noProof/>
                <w:webHidden/>
                <w:sz w:val="24"/>
                <w:szCs w:val="24"/>
              </w:rPr>
              <w:tab/>
            </w:r>
            <w:r w:rsidRPr="00B77B5A">
              <w:rPr>
                <w:noProof/>
                <w:webHidden/>
                <w:sz w:val="24"/>
                <w:szCs w:val="24"/>
              </w:rPr>
              <w:fldChar w:fldCharType="begin"/>
            </w:r>
            <w:r w:rsidR="00B77B5A" w:rsidRPr="00B77B5A">
              <w:rPr>
                <w:noProof/>
                <w:webHidden/>
                <w:sz w:val="24"/>
                <w:szCs w:val="24"/>
              </w:rPr>
              <w:instrText xml:space="preserve"> PAGEREF _Toc417329176 \h </w:instrText>
            </w:r>
            <w:r w:rsidRPr="00B77B5A">
              <w:rPr>
                <w:noProof/>
                <w:webHidden/>
                <w:sz w:val="24"/>
                <w:szCs w:val="24"/>
              </w:rPr>
            </w:r>
            <w:r w:rsidRPr="00B77B5A">
              <w:rPr>
                <w:noProof/>
                <w:webHidden/>
                <w:sz w:val="24"/>
                <w:szCs w:val="24"/>
              </w:rPr>
              <w:fldChar w:fldCharType="separate"/>
            </w:r>
            <w:r w:rsidR="00B77B5A" w:rsidRPr="00B77B5A">
              <w:rPr>
                <w:noProof/>
                <w:webHidden/>
                <w:sz w:val="24"/>
                <w:szCs w:val="24"/>
              </w:rPr>
              <w:t>3</w:t>
            </w:r>
            <w:r w:rsidRPr="00B77B5A">
              <w:rPr>
                <w:noProof/>
                <w:webHidden/>
                <w:sz w:val="24"/>
                <w:szCs w:val="24"/>
              </w:rPr>
              <w:fldChar w:fldCharType="end"/>
            </w:r>
          </w:hyperlink>
        </w:p>
        <w:p w:rsidR="00B77B5A" w:rsidRPr="00B77B5A" w:rsidRDefault="00D44079">
          <w:pPr>
            <w:pStyle w:val="21"/>
            <w:tabs>
              <w:tab w:val="left" w:pos="660"/>
              <w:tab w:val="right" w:leader="dot" w:pos="9345"/>
            </w:tabs>
            <w:rPr>
              <w:rFonts w:eastAsiaTheme="minorEastAsia"/>
              <w:noProof/>
              <w:sz w:val="24"/>
              <w:szCs w:val="24"/>
              <w:lang w:eastAsia="ru-RU"/>
            </w:rPr>
          </w:pPr>
          <w:hyperlink w:anchor="_Toc417329177" w:history="1">
            <w:r w:rsidR="00B77B5A" w:rsidRPr="00B77B5A">
              <w:rPr>
                <w:rStyle w:val="a5"/>
                <w:noProof/>
                <w:sz w:val="24"/>
                <w:szCs w:val="24"/>
                <w:shd w:val="clear" w:color="auto" w:fill="FFFFFF"/>
                <w:lang w:val="uk-UA"/>
              </w:rPr>
              <w:t>I.a</w:t>
            </w:r>
            <w:r w:rsidR="00B77B5A" w:rsidRPr="00B77B5A">
              <w:rPr>
                <w:rFonts w:eastAsiaTheme="minorEastAsia"/>
                <w:noProof/>
                <w:sz w:val="24"/>
                <w:szCs w:val="24"/>
                <w:lang w:eastAsia="ru-RU"/>
              </w:rPr>
              <w:tab/>
            </w:r>
            <w:r w:rsidR="00B77B5A" w:rsidRPr="00B77B5A">
              <w:rPr>
                <w:rStyle w:val="a5"/>
                <w:noProof/>
                <w:sz w:val="24"/>
                <w:szCs w:val="24"/>
                <w:shd w:val="clear" w:color="auto" w:fill="FFFFFF"/>
                <w:lang w:val="uk-UA"/>
              </w:rPr>
              <w:t>Виконавці і регіони проведення громадського моніторингу</w:t>
            </w:r>
            <w:r w:rsidR="00B77B5A" w:rsidRPr="00B77B5A">
              <w:rPr>
                <w:noProof/>
                <w:webHidden/>
                <w:sz w:val="24"/>
                <w:szCs w:val="24"/>
              </w:rPr>
              <w:tab/>
            </w:r>
            <w:r w:rsidRPr="00B77B5A">
              <w:rPr>
                <w:noProof/>
                <w:webHidden/>
                <w:sz w:val="24"/>
                <w:szCs w:val="24"/>
              </w:rPr>
              <w:fldChar w:fldCharType="begin"/>
            </w:r>
            <w:r w:rsidR="00B77B5A" w:rsidRPr="00B77B5A">
              <w:rPr>
                <w:noProof/>
                <w:webHidden/>
                <w:sz w:val="24"/>
                <w:szCs w:val="24"/>
              </w:rPr>
              <w:instrText xml:space="preserve"> PAGEREF _Toc417329177 \h </w:instrText>
            </w:r>
            <w:r w:rsidRPr="00B77B5A">
              <w:rPr>
                <w:noProof/>
                <w:webHidden/>
                <w:sz w:val="24"/>
                <w:szCs w:val="24"/>
              </w:rPr>
            </w:r>
            <w:r w:rsidRPr="00B77B5A">
              <w:rPr>
                <w:noProof/>
                <w:webHidden/>
                <w:sz w:val="24"/>
                <w:szCs w:val="24"/>
              </w:rPr>
              <w:fldChar w:fldCharType="separate"/>
            </w:r>
            <w:r w:rsidR="00B77B5A" w:rsidRPr="00B77B5A">
              <w:rPr>
                <w:noProof/>
                <w:webHidden/>
                <w:sz w:val="24"/>
                <w:szCs w:val="24"/>
              </w:rPr>
              <w:t>3</w:t>
            </w:r>
            <w:r w:rsidRPr="00B77B5A">
              <w:rPr>
                <w:noProof/>
                <w:webHidden/>
                <w:sz w:val="24"/>
                <w:szCs w:val="24"/>
              </w:rPr>
              <w:fldChar w:fldCharType="end"/>
            </w:r>
          </w:hyperlink>
        </w:p>
        <w:p w:rsidR="00B77B5A" w:rsidRPr="00B77B5A" w:rsidRDefault="00D44079">
          <w:pPr>
            <w:pStyle w:val="21"/>
            <w:tabs>
              <w:tab w:val="left" w:pos="880"/>
              <w:tab w:val="right" w:leader="dot" w:pos="9345"/>
            </w:tabs>
            <w:rPr>
              <w:rFonts w:eastAsiaTheme="minorEastAsia"/>
              <w:noProof/>
              <w:sz w:val="24"/>
              <w:szCs w:val="24"/>
              <w:lang w:eastAsia="ru-RU"/>
            </w:rPr>
          </w:pPr>
          <w:hyperlink w:anchor="_Toc417329178" w:history="1">
            <w:r w:rsidR="00B77B5A" w:rsidRPr="00B77B5A">
              <w:rPr>
                <w:rStyle w:val="a5"/>
                <w:noProof/>
                <w:sz w:val="24"/>
                <w:szCs w:val="24"/>
                <w:shd w:val="clear" w:color="auto" w:fill="FFFFFF"/>
                <w:lang w:val="uk-UA"/>
              </w:rPr>
              <w:t>I.b</w:t>
            </w:r>
            <w:r w:rsidR="00B77B5A" w:rsidRPr="00B77B5A">
              <w:rPr>
                <w:rFonts w:eastAsiaTheme="minorEastAsia"/>
                <w:noProof/>
                <w:sz w:val="24"/>
                <w:szCs w:val="24"/>
                <w:lang w:eastAsia="ru-RU"/>
              </w:rPr>
              <w:tab/>
            </w:r>
            <w:r w:rsidR="00B77B5A" w:rsidRPr="00B77B5A">
              <w:rPr>
                <w:rStyle w:val="a5"/>
                <w:noProof/>
                <w:sz w:val="24"/>
                <w:szCs w:val="24"/>
                <w:shd w:val="clear" w:color="auto" w:fill="FFFFFF"/>
                <w:lang w:val="uk-UA"/>
              </w:rPr>
              <w:t xml:space="preserve"> Застосовані методи дослідження</w:t>
            </w:r>
            <w:r w:rsidR="00B77B5A" w:rsidRPr="00B77B5A">
              <w:rPr>
                <w:noProof/>
                <w:webHidden/>
                <w:sz w:val="24"/>
                <w:szCs w:val="24"/>
              </w:rPr>
              <w:tab/>
            </w:r>
            <w:r w:rsidRPr="00B77B5A">
              <w:rPr>
                <w:noProof/>
                <w:webHidden/>
                <w:sz w:val="24"/>
                <w:szCs w:val="24"/>
              </w:rPr>
              <w:fldChar w:fldCharType="begin"/>
            </w:r>
            <w:r w:rsidR="00B77B5A" w:rsidRPr="00B77B5A">
              <w:rPr>
                <w:noProof/>
                <w:webHidden/>
                <w:sz w:val="24"/>
                <w:szCs w:val="24"/>
              </w:rPr>
              <w:instrText xml:space="preserve"> PAGEREF _Toc417329178 \h </w:instrText>
            </w:r>
            <w:r w:rsidRPr="00B77B5A">
              <w:rPr>
                <w:noProof/>
                <w:webHidden/>
                <w:sz w:val="24"/>
                <w:szCs w:val="24"/>
              </w:rPr>
            </w:r>
            <w:r w:rsidRPr="00B77B5A">
              <w:rPr>
                <w:noProof/>
                <w:webHidden/>
                <w:sz w:val="24"/>
                <w:szCs w:val="24"/>
              </w:rPr>
              <w:fldChar w:fldCharType="separate"/>
            </w:r>
            <w:r w:rsidR="00B77B5A" w:rsidRPr="00B77B5A">
              <w:rPr>
                <w:noProof/>
                <w:webHidden/>
                <w:sz w:val="24"/>
                <w:szCs w:val="24"/>
              </w:rPr>
              <w:t>5</w:t>
            </w:r>
            <w:r w:rsidRPr="00B77B5A">
              <w:rPr>
                <w:noProof/>
                <w:webHidden/>
                <w:sz w:val="24"/>
                <w:szCs w:val="24"/>
              </w:rPr>
              <w:fldChar w:fldCharType="end"/>
            </w:r>
          </w:hyperlink>
        </w:p>
        <w:p w:rsidR="00B77B5A" w:rsidRPr="00B77B5A" w:rsidRDefault="00D44079">
          <w:pPr>
            <w:pStyle w:val="11"/>
            <w:tabs>
              <w:tab w:val="left" w:pos="440"/>
              <w:tab w:val="right" w:leader="dot" w:pos="9345"/>
            </w:tabs>
            <w:rPr>
              <w:rFonts w:eastAsiaTheme="minorEastAsia"/>
              <w:noProof/>
              <w:sz w:val="24"/>
              <w:szCs w:val="24"/>
              <w:lang w:eastAsia="ru-RU"/>
            </w:rPr>
          </w:pPr>
          <w:hyperlink w:anchor="_Toc417329179" w:history="1">
            <w:r w:rsidR="00B77B5A" w:rsidRPr="00B77B5A">
              <w:rPr>
                <w:rStyle w:val="a5"/>
                <w:noProof/>
                <w:sz w:val="24"/>
                <w:szCs w:val="24"/>
                <w:lang w:val="uk-UA"/>
              </w:rPr>
              <w:t>II.</w:t>
            </w:r>
            <w:r w:rsidR="00B77B5A" w:rsidRPr="00B77B5A">
              <w:rPr>
                <w:rFonts w:eastAsiaTheme="minorEastAsia"/>
                <w:noProof/>
                <w:sz w:val="24"/>
                <w:szCs w:val="24"/>
                <w:lang w:eastAsia="ru-RU"/>
              </w:rPr>
              <w:tab/>
            </w:r>
            <w:r w:rsidR="00B77B5A" w:rsidRPr="00B77B5A">
              <w:rPr>
                <w:rStyle w:val="a5"/>
                <w:noProof/>
                <w:sz w:val="24"/>
                <w:szCs w:val="24"/>
                <w:shd w:val="clear" w:color="auto" w:fill="FFFFFF"/>
                <w:lang w:val="uk-UA"/>
              </w:rPr>
              <w:t>Висновки та рекомендації по дошкільній і шкільній освіті</w:t>
            </w:r>
            <w:r w:rsidR="00B77B5A" w:rsidRPr="00B77B5A">
              <w:rPr>
                <w:noProof/>
                <w:webHidden/>
                <w:sz w:val="24"/>
                <w:szCs w:val="24"/>
              </w:rPr>
              <w:tab/>
            </w:r>
            <w:r w:rsidRPr="00B77B5A">
              <w:rPr>
                <w:noProof/>
                <w:webHidden/>
                <w:sz w:val="24"/>
                <w:szCs w:val="24"/>
              </w:rPr>
              <w:fldChar w:fldCharType="begin"/>
            </w:r>
            <w:r w:rsidR="00B77B5A" w:rsidRPr="00B77B5A">
              <w:rPr>
                <w:noProof/>
                <w:webHidden/>
                <w:sz w:val="24"/>
                <w:szCs w:val="24"/>
              </w:rPr>
              <w:instrText xml:space="preserve"> PAGEREF _Toc417329179 \h </w:instrText>
            </w:r>
            <w:r w:rsidRPr="00B77B5A">
              <w:rPr>
                <w:noProof/>
                <w:webHidden/>
                <w:sz w:val="24"/>
                <w:szCs w:val="24"/>
              </w:rPr>
            </w:r>
            <w:r w:rsidRPr="00B77B5A">
              <w:rPr>
                <w:noProof/>
                <w:webHidden/>
                <w:sz w:val="24"/>
                <w:szCs w:val="24"/>
              </w:rPr>
              <w:fldChar w:fldCharType="separate"/>
            </w:r>
            <w:r w:rsidR="00B77B5A" w:rsidRPr="00B77B5A">
              <w:rPr>
                <w:noProof/>
                <w:webHidden/>
                <w:sz w:val="24"/>
                <w:szCs w:val="24"/>
              </w:rPr>
              <w:t>6</w:t>
            </w:r>
            <w:r w:rsidRPr="00B77B5A">
              <w:rPr>
                <w:noProof/>
                <w:webHidden/>
                <w:sz w:val="24"/>
                <w:szCs w:val="24"/>
              </w:rPr>
              <w:fldChar w:fldCharType="end"/>
            </w:r>
          </w:hyperlink>
        </w:p>
        <w:p w:rsidR="00B77B5A" w:rsidRPr="00B77B5A" w:rsidRDefault="00D44079">
          <w:pPr>
            <w:pStyle w:val="31"/>
            <w:tabs>
              <w:tab w:val="left" w:pos="1100"/>
              <w:tab w:val="right" w:leader="dot" w:pos="9345"/>
            </w:tabs>
            <w:rPr>
              <w:rFonts w:eastAsiaTheme="minorEastAsia"/>
              <w:noProof/>
              <w:sz w:val="24"/>
              <w:szCs w:val="24"/>
              <w:lang w:eastAsia="ru-RU"/>
            </w:rPr>
          </w:pPr>
          <w:hyperlink w:anchor="_Toc417329180" w:history="1">
            <w:r w:rsidR="00B77B5A" w:rsidRPr="00B77B5A">
              <w:rPr>
                <w:rStyle w:val="a5"/>
                <w:noProof/>
                <w:sz w:val="24"/>
                <w:szCs w:val="24"/>
                <w:lang w:val="uk-UA"/>
              </w:rPr>
              <w:t>II.a</w:t>
            </w:r>
            <w:r w:rsidR="00B77B5A" w:rsidRPr="00B77B5A">
              <w:rPr>
                <w:rFonts w:eastAsiaTheme="minorEastAsia"/>
                <w:noProof/>
                <w:sz w:val="24"/>
                <w:szCs w:val="24"/>
                <w:lang w:eastAsia="ru-RU"/>
              </w:rPr>
              <w:tab/>
            </w:r>
            <w:r w:rsidR="00B77B5A" w:rsidRPr="00B77B5A">
              <w:rPr>
                <w:rStyle w:val="a5"/>
                <w:noProof/>
                <w:sz w:val="24"/>
                <w:szCs w:val="24"/>
                <w:lang w:val="uk-UA"/>
              </w:rPr>
              <w:t>Висновки</w:t>
            </w:r>
            <w:r w:rsidR="00B77B5A" w:rsidRPr="00B77B5A">
              <w:rPr>
                <w:noProof/>
                <w:webHidden/>
                <w:sz w:val="24"/>
                <w:szCs w:val="24"/>
              </w:rPr>
              <w:tab/>
            </w:r>
            <w:r w:rsidRPr="00B77B5A">
              <w:rPr>
                <w:noProof/>
                <w:webHidden/>
                <w:sz w:val="24"/>
                <w:szCs w:val="24"/>
              </w:rPr>
              <w:fldChar w:fldCharType="begin"/>
            </w:r>
            <w:r w:rsidR="00B77B5A" w:rsidRPr="00B77B5A">
              <w:rPr>
                <w:noProof/>
                <w:webHidden/>
                <w:sz w:val="24"/>
                <w:szCs w:val="24"/>
              </w:rPr>
              <w:instrText xml:space="preserve"> PAGEREF _Toc417329180 \h </w:instrText>
            </w:r>
            <w:r w:rsidRPr="00B77B5A">
              <w:rPr>
                <w:noProof/>
                <w:webHidden/>
                <w:sz w:val="24"/>
                <w:szCs w:val="24"/>
              </w:rPr>
            </w:r>
            <w:r w:rsidRPr="00B77B5A">
              <w:rPr>
                <w:noProof/>
                <w:webHidden/>
                <w:sz w:val="24"/>
                <w:szCs w:val="24"/>
              </w:rPr>
              <w:fldChar w:fldCharType="separate"/>
            </w:r>
            <w:r w:rsidR="00B77B5A" w:rsidRPr="00B77B5A">
              <w:rPr>
                <w:noProof/>
                <w:webHidden/>
                <w:sz w:val="24"/>
                <w:szCs w:val="24"/>
              </w:rPr>
              <w:t>6</w:t>
            </w:r>
            <w:r w:rsidRPr="00B77B5A">
              <w:rPr>
                <w:noProof/>
                <w:webHidden/>
                <w:sz w:val="24"/>
                <w:szCs w:val="24"/>
              </w:rPr>
              <w:fldChar w:fldCharType="end"/>
            </w:r>
          </w:hyperlink>
        </w:p>
        <w:p w:rsidR="00B77B5A" w:rsidRPr="00B77B5A" w:rsidRDefault="00D44079">
          <w:pPr>
            <w:pStyle w:val="31"/>
            <w:tabs>
              <w:tab w:val="left" w:pos="1100"/>
              <w:tab w:val="right" w:leader="dot" w:pos="9345"/>
            </w:tabs>
            <w:rPr>
              <w:rFonts w:eastAsiaTheme="minorEastAsia"/>
              <w:noProof/>
              <w:sz w:val="24"/>
              <w:szCs w:val="24"/>
              <w:lang w:eastAsia="ru-RU"/>
            </w:rPr>
          </w:pPr>
          <w:hyperlink w:anchor="_Toc417329181" w:history="1">
            <w:r w:rsidR="00B77B5A" w:rsidRPr="00B77B5A">
              <w:rPr>
                <w:rStyle w:val="a5"/>
                <w:noProof/>
                <w:sz w:val="24"/>
                <w:szCs w:val="24"/>
                <w:lang w:val="en-US"/>
              </w:rPr>
              <w:t>II</w:t>
            </w:r>
            <w:r w:rsidR="00B77B5A" w:rsidRPr="00B77B5A">
              <w:rPr>
                <w:rStyle w:val="a5"/>
                <w:noProof/>
                <w:sz w:val="24"/>
                <w:szCs w:val="24"/>
                <w:lang w:val="uk-UA"/>
              </w:rPr>
              <w:t>.</w:t>
            </w:r>
            <w:r w:rsidR="00B77B5A" w:rsidRPr="00B77B5A">
              <w:rPr>
                <w:rStyle w:val="a5"/>
                <w:noProof/>
                <w:sz w:val="24"/>
                <w:szCs w:val="24"/>
                <w:lang w:val="en-US"/>
              </w:rPr>
              <w:t>b</w:t>
            </w:r>
            <w:r w:rsidR="00B77B5A" w:rsidRPr="00B77B5A">
              <w:rPr>
                <w:rFonts w:eastAsiaTheme="minorEastAsia"/>
                <w:noProof/>
                <w:sz w:val="24"/>
                <w:szCs w:val="24"/>
                <w:lang w:eastAsia="ru-RU"/>
              </w:rPr>
              <w:tab/>
            </w:r>
            <w:r w:rsidR="00B77B5A" w:rsidRPr="00B77B5A">
              <w:rPr>
                <w:rStyle w:val="a5"/>
                <w:noProof/>
                <w:sz w:val="24"/>
                <w:szCs w:val="24"/>
                <w:lang w:val="uk-UA"/>
              </w:rPr>
              <w:t>Рекомендації</w:t>
            </w:r>
            <w:r w:rsidR="00B77B5A" w:rsidRPr="00B77B5A">
              <w:rPr>
                <w:noProof/>
                <w:webHidden/>
                <w:sz w:val="24"/>
                <w:szCs w:val="24"/>
              </w:rPr>
              <w:tab/>
            </w:r>
            <w:r w:rsidRPr="00B77B5A">
              <w:rPr>
                <w:noProof/>
                <w:webHidden/>
                <w:sz w:val="24"/>
                <w:szCs w:val="24"/>
              </w:rPr>
              <w:fldChar w:fldCharType="begin"/>
            </w:r>
            <w:r w:rsidR="00B77B5A" w:rsidRPr="00B77B5A">
              <w:rPr>
                <w:noProof/>
                <w:webHidden/>
                <w:sz w:val="24"/>
                <w:szCs w:val="24"/>
              </w:rPr>
              <w:instrText xml:space="preserve"> PAGEREF _Toc417329181 \h </w:instrText>
            </w:r>
            <w:r w:rsidRPr="00B77B5A">
              <w:rPr>
                <w:noProof/>
                <w:webHidden/>
                <w:sz w:val="24"/>
                <w:szCs w:val="24"/>
              </w:rPr>
            </w:r>
            <w:r w:rsidRPr="00B77B5A">
              <w:rPr>
                <w:noProof/>
                <w:webHidden/>
                <w:sz w:val="24"/>
                <w:szCs w:val="24"/>
              </w:rPr>
              <w:fldChar w:fldCharType="separate"/>
            </w:r>
            <w:r w:rsidR="00B77B5A" w:rsidRPr="00B77B5A">
              <w:rPr>
                <w:noProof/>
                <w:webHidden/>
                <w:sz w:val="24"/>
                <w:szCs w:val="24"/>
              </w:rPr>
              <w:t>8</w:t>
            </w:r>
            <w:r w:rsidRPr="00B77B5A">
              <w:rPr>
                <w:noProof/>
                <w:webHidden/>
                <w:sz w:val="24"/>
                <w:szCs w:val="24"/>
              </w:rPr>
              <w:fldChar w:fldCharType="end"/>
            </w:r>
          </w:hyperlink>
        </w:p>
        <w:p w:rsidR="00B77B5A" w:rsidRPr="00B77B5A" w:rsidRDefault="00D44079">
          <w:pPr>
            <w:pStyle w:val="11"/>
            <w:tabs>
              <w:tab w:val="left" w:pos="660"/>
              <w:tab w:val="right" w:leader="dot" w:pos="9345"/>
            </w:tabs>
            <w:rPr>
              <w:rFonts w:eastAsiaTheme="minorEastAsia"/>
              <w:noProof/>
              <w:sz w:val="24"/>
              <w:szCs w:val="24"/>
              <w:lang w:eastAsia="ru-RU"/>
            </w:rPr>
          </w:pPr>
          <w:hyperlink w:anchor="_Toc417329182" w:history="1">
            <w:r w:rsidR="00B77B5A" w:rsidRPr="00B77B5A">
              <w:rPr>
                <w:rStyle w:val="a5"/>
                <w:noProof/>
                <w:sz w:val="24"/>
                <w:szCs w:val="24"/>
                <w:lang w:val="uk-UA"/>
              </w:rPr>
              <w:t>III.</w:t>
            </w:r>
            <w:r w:rsidR="00B77B5A" w:rsidRPr="00B77B5A">
              <w:rPr>
                <w:rFonts w:eastAsiaTheme="minorEastAsia"/>
                <w:noProof/>
                <w:sz w:val="24"/>
                <w:szCs w:val="24"/>
                <w:lang w:eastAsia="ru-RU"/>
              </w:rPr>
              <w:tab/>
            </w:r>
            <w:r w:rsidR="00B77B5A" w:rsidRPr="00B77B5A">
              <w:rPr>
                <w:rStyle w:val="a5"/>
                <w:noProof/>
                <w:sz w:val="24"/>
                <w:szCs w:val="24"/>
                <w:shd w:val="clear" w:color="auto" w:fill="FFFFFF"/>
                <w:lang w:val="uk-UA"/>
              </w:rPr>
              <w:t>Висновки та рекомендації по вищій освіті</w:t>
            </w:r>
            <w:r w:rsidR="00B77B5A" w:rsidRPr="00B77B5A">
              <w:rPr>
                <w:noProof/>
                <w:webHidden/>
                <w:sz w:val="24"/>
                <w:szCs w:val="24"/>
              </w:rPr>
              <w:tab/>
            </w:r>
            <w:r w:rsidRPr="00B77B5A">
              <w:rPr>
                <w:noProof/>
                <w:webHidden/>
                <w:sz w:val="24"/>
                <w:szCs w:val="24"/>
              </w:rPr>
              <w:fldChar w:fldCharType="begin"/>
            </w:r>
            <w:r w:rsidR="00B77B5A" w:rsidRPr="00B77B5A">
              <w:rPr>
                <w:noProof/>
                <w:webHidden/>
                <w:sz w:val="24"/>
                <w:szCs w:val="24"/>
              </w:rPr>
              <w:instrText xml:space="preserve"> PAGEREF _Toc417329182 \h </w:instrText>
            </w:r>
            <w:r w:rsidRPr="00B77B5A">
              <w:rPr>
                <w:noProof/>
                <w:webHidden/>
                <w:sz w:val="24"/>
                <w:szCs w:val="24"/>
              </w:rPr>
            </w:r>
            <w:r w:rsidRPr="00B77B5A">
              <w:rPr>
                <w:noProof/>
                <w:webHidden/>
                <w:sz w:val="24"/>
                <w:szCs w:val="24"/>
              </w:rPr>
              <w:fldChar w:fldCharType="separate"/>
            </w:r>
            <w:r w:rsidR="00B77B5A" w:rsidRPr="00B77B5A">
              <w:rPr>
                <w:noProof/>
                <w:webHidden/>
                <w:sz w:val="24"/>
                <w:szCs w:val="24"/>
              </w:rPr>
              <w:t>10</w:t>
            </w:r>
            <w:r w:rsidRPr="00B77B5A">
              <w:rPr>
                <w:noProof/>
                <w:webHidden/>
                <w:sz w:val="24"/>
                <w:szCs w:val="24"/>
              </w:rPr>
              <w:fldChar w:fldCharType="end"/>
            </w:r>
          </w:hyperlink>
        </w:p>
        <w:p w:rsidR="00B77B5A" w:rsidRPr="00B77B5A" w:rsidRDefault="00D44079">
          <w:pPr>
            <w:pStyle w:val="31"/>
            <w:tabs>
              <w:tab w:val="left" w:pos="1100"/>
              <w:tab w:val="right" w:leader="dot" w:pos="9345"/>
            </w:tabs>
            <w:rPr>
              <w:rFonts w:eastAsiaTheme="minorEastAsia"/>
              <w:noProof/>
              <w:sz w:val="24"/>
              <w:szCs w:val="24"/>
              <w:lang w:eastAsia="ru-RU"/>
            </w:rPr>
          </w:pPr>
          <w:hyperlink w:anchor="_Toc417329183" w:history="1">
            <w:r w:rsidR="00B77B5A" w:rsidRPr="00B77B5A">
              <w:rPr>
                <w:rStyle w:val="a5"/>
                <w:noProof/>
                <w:sz w:val="24"/>
                <w:szCs w:val="24"/>
                <w:lang w:val="en-US"/>
              </w:rPr>
              <w:t>III</w:t>
            </w:r>
            <w:r w:rsidR="00B77B5A" w:rsidRPr="00B77B5A">
              <w:rPr>
                <w:rStyle w:val="a5"/>
                <w:noProof/>
                <w:sz w:val="24"/>
                <w:szCs w:val="24"/>
              </w:rPr>
              <w:t>.</w:t>
            </w:r>
            <w:r w:rsidR="00B77B5A" w:rsidRPr="00B77B5A">
              <w:rPr>
                <w:rStyle w:val="a5"/>
                <w:noProof/>
                <w:sz w:val="24"/>
                <w:szCs w:val="24"/>
                <w:lang w:val="en-US"/>
              </w:rPr>
              <w:t>a</w:t>
            </w:r>
            <w:r w:rsidR="00B77B5A" w:rsidRPr="00B77B5A">
              <w:rPr>
                <w:rFonts w:eastAsiaTheme="minorEastAsia"/>
                <w:noProof/>
                <w:sz w:val="24"/>
                <w:szCs w:val="24"/>
                <w:lang w:eastAsia="ru-RU"/>
              </w:rPr>
              <w:tab/>
            </w:r>
            <w:r w:rsidR="00B77B5A" w:rsidRPr="00B77B5A">
              <w:rPr>
                <w:rStyle w:val="a5"/>
                <w:noProof/>
                <w:sz w:val="24"/>
                <w:szCs w:val="24"/>
                <w:shd w:val="clear" w:color="auto" w:fill="FFFFFF"/>
                <w:lang w:val="uk-UA"/>
              </w:rPr>
              <w:t>Висновки</w:t>
            </w:r>
            <w:r w:rsidR="00B77B5A" w:rsidRPr="00B77B5A">
              <w:rPr>
                <w:noProof/>
                <w:webHidden/>
                <w:sz w:val="24"/>
                <w:szCs w:val="24"/>
              </w:rPr>
              <w:tab/>
            </w:r>
            <w:r w:rsidRPr="00B77B5A">
              <w:rPr>
                <w:noProof/>
                <w:webHidden/>
                <w:sz w:val="24"/>
                <w:szCs w:val="24"/>
              </w:rPr>
              <w:fldChar w:fldCharType="begin"/>
            </w:r>
            <w:r w:rsidR="00B77B5A" w:rsidRPr="00B77B5A">
              <w:rPr>
                <w:noProof/>
                <w:webHidden/>
                <w:sz w:val="24"/>
                <w:szCs w:val="24"/>
              </w:rPr>
              <w:instrText xml:space="preserve"> PAGEREF _Toc417329183 \h </w:instrText>
            </w:r>
            <w:r w:rsidRPr="00B77B5A">
              <w:rPr>
                <w:noProof/>
                <w:webHidden/>
                <w:sz w:val="24"/>
                <w:szCs w:val="24"/>
              </w:rPr>
            </w:r>
            <w:r w:rsidRPr="00B77B5A">
              <w:rPr>
                <w:noProof/>
                <w:webHidden/>
                <w:sz w:val="24"/>
                <w:szCs w:val="24"/>
              </w:rPr>
              <w:fldChar w:fldCharType="separate"/>
            </w:r>
            <w:r w:rsidR="00B77B5A" w:rsidRPr="00B77B5A">
              <w:rPr>
                <w:noProof/>
                <w:webHidden/>
                <w:sz w:val="24"/>
                <w:szCs w:val="24"/>
              </w:rPr>
              <w:t>10</w:t>
            </w:r>
            <w:r w:rsidRPr="00B77B5A">
              <w:rPr>
                <w:noProof/>
                <w:webHidden/>
                <w:sz w:val="24"/>
                <w:szCs w:val="24"/>
              </w:rPr>
              <w:fldChar w:fldCharType="end"/>
            </w:r>
          </w:hyperlink>
        </w:p>
        <w:p w:rsidR="00B77B5A" w:rsidRPr="00B77B5A" w:rsidRDefault="00D44079">
          <w:pPr>
            <w:pStyle w:val="31"/>
            <w:tabs>
              <w:tab w:val="left" w:pos="1100"/>
              <w:tab w:val="right" w:leader="dot" w:pos="9345"/>
            </w:tabs>
            <w:rPr>
              <w:rFonts w:eastAsiaTheme="minorEastAsia"/>
              <w:noProof/>
              <w:sz w:val="24"/>
              <w:szCs w:val="24"/>
              <w:lang w:eastAsia="ru-RU"/>
            </w:rPr>
          </w:pPr>
          <w:hyperlink w:anchor="_Toc417329184" w:history="1">
            <w:r w:rsidR="00B77B5A" w:rsidRPr="00B77B5A">
              <w:rPr>
                <w:rStyle w:val="a5"/>
                <w:noProof/>
                <w:sz w:val="24"/>
                <w:szCs w:val="24"/>
                <w:lang w:val="en-US"/>
              </w:rPr>
              <w:t>III</w:t>
            </w:r>
            <w:r w:rsidR="00B77B5A" w:rsidRPr="00B77B5A">
              <w:rPr>
                <w:rStyle w:val="a5"/>
                <w:noProof/>
                <w:sz w:val="24"/>
                <w:szCs w:val="24"/>
              </w:rPr>
              <w:t>.</w:t>
            </w:r>
            <w:r w:rsidR="00B77B5A" w:rsidRPr="00B77B5A">
              <w:rPr>
                <w:rStyle w:val="a5"/>
                <w:noProof/>
                <w:sz w:val="24"/>
                <w:szCs w:val="24"/>
                <w:lang w:val="en-US"/>
              </w:rPr>
              <w:t>b</w:t>
            </w:r>
            <w:r w:rsidR="00B77B5A" w:rsidRPr="00B77B5A">
              <w:rPr>
                <w:rFonts w:eastAsiaTheme="minorEastAsia"/>
                <w:noProof/>
                <w:sz w:val="24"/>
                <w:szCs w:val="24"/>
                <w:lang w:eastAsia="ru-RU"/>
              </w:rPr>
              <w:tab/>
            </w:r>
            <w:r w:rsidR="00B77B5A" w:rsidRPr="00B77B5A">
              <w:rPr>
                <w:rStyle w:val="a5"/>
                <w:noProof/>
                <w:sz w:val="24"/>
                <w:szCs w:val="24"/>
                <w:shd w:val="clear" w:color="auto" w:fill="FFFFFF"/>
                <w:lang w:val="uk-UA"/>
              </w:rPr>
              <w:t>Рекомендації</w:t>
            </w:r>
            <w:r w:rsidR="00B77B5A" w:rsidRPr="00B77B5A">
              <w:rPr>
                <w:noProof/>
                <w:webHidden/>
                <w:sz w:val="24"/>
                <w:szCs w:val="24"/>
              </w:rPr>
              <w:tab/>
            </w:r>
            <w:r w:rsidRPr="00B77B5A">
              <w:rPr>
                <w:noProof/>
                <w:webHidden/>
                <w:sz w:val="24"/>
                <w:szCs w:val="24"/>
              </w:rPr>
              <w:fldChar w:fldCharType="begin"/>
            </w:r>
            <w:r w:rsidR="00B77B5A" w:rsidRPr="00B77B5A">
              <w:rPr>
                <w:noProof/>
                <w:webHidden/>
                <w:sz w:val="24"/>
                <w:szCs w:val="24"/>
              </w:rPr>
              <w:instrText xml:space="preserve"> PAGEREF _Toc417329184 \h </w:instrText>
            </w:r>
            <w:r w:rsidRPr="00B77B5A">
              <w:rPr>
                <w:noProof/>
                <w:webHidden/>
                <w:sz w:val="24"/>
                <w:szCs w:val="24"/>
              </w:rPr>
            </w:r>
            <w:r w:rsidRPr="00B77B5A">
              <w:rPr>
                <w:noProof/>
                <w:webHidden/>
                <w:sz w:val="24"/>
                <w:szCs w:val="24"/>
              </w:rPr>
              <w:fldChar w:fldCharType="separate"/>
            </w:r>
            <w:r w:rsidR="00B77B5A" w:rsidRPr="00B77B5A">
              <w:rPr>
                <w:noProof/>
                <w:webHidden/>
                <w:sz w:val="24"/>
                <w:szCs w:val="24"/>
              </w:rPr>
              <w:t>13</w:t>
            </w:r>
            <w:r w:rsidRPr="00B77B5A">
              <w:rPr>
                <w:noProof/>
                <w:webHidden/>
                <w:sz w:val="24"/>
                <w:szCs w:val="24"/>
              </w:rPr>
              <w:fldChar w:fldCharType="end"/>
            </w:r>
          </w:hyperlink>
        </w:p>
        <w:p w:rsidR="000D13D6" w:rsidRDefault="00D44079">
          <w:r w:rsidRPr="00B77B5A">
            <w:rPr>
              <w:b/>
              <w:bCs/>
              <w:sz w:val="24"/>
              <w:szCs w:val="24"/>
            </w:rPr>
            <w:fldChar w:fldCharType="end"/>
          </w:r>
        </w:p>
      </w:sdtContent>
    </w:sdt>
    <w:p w:rsidR="000D13D6" w:rsidRDefault="000D13D6">
      <w:pPr>
        <w:rPr>
          <w:color w:val="000000"/>
          <w:shd w:val="clear" w:color="auto" w:fill="FFFFFF"/>
          <w:lang w:val="uk-UA"/>
        </w:rPr>
      </w:pPr>
      <w:r>
        <w:rPr>
          <w:color w:val="000000"/>
          <w:shd w:val="clear" w:color="auto" w:fill="FFFFFF"/>
          <w:lang w:val="uk-UA"/>
        </w:rPr>
        <w:br w:type="page"/>
      </w:r>
    </w:p>
    <w:p w:rsidR="000D13D6" w:rsidRDefault="000D13D6" w:rsidP="00B77B5A">
      <w:pPr>
        <w:pStyle w:val="1"/>
        <w:numPr>
          <w:ilvl w:val="0"/>
          <w:numId w:val="2"/>
        </w:numPr>
        <w:spacing w:after="120"/>
        <w:ind w:left="709" w:hanging="709"/>
        <w:rPr>
          <w:shd w:val="clear" w:color="auto" w:fill="FFFFFF"/>
          <w:lang w:val="uk-UA"/>
        </w:rPr>
      </w:pPr>
      <w:bookmarkStart w:id="1" w:name="_Toc417329176"/>
      <w:r w:rsidRPr="000D13D6">
        <w:rPr>
          <w:shd w:val="clear" w:color="auto" w:fill="FFFFFF"/>
          <w:lang w:val="uk-UA"/>
        </w:rPr>
        <w:lastRenderedPageBreak/>
        <w:t>Інформація про</w:t>
      </w:r>
      <w:r>
        <w:rPr>
          <w:shd w:val="clear" w:color="auto" w:fill="FFFFFF"/>
          <w:lang w:val="en-US"/>
        </w:rPr>
        <w:t xml:space="preserve"> </w:t>
      </w:r>
      <w:r>
        <w:rPr>
          <w:shd w:val="clear" w:color="auto" w:fill="FFFFFF"/>
          <w:lang w:val="uk-UA"/>
        </w:rPr>
        <w:t>дослідження</w:t>
      </w:r>
      <w:bookmarkEnd w:id="1"/>
    </w:p>
    <w:p w:rsidR="00276C57" w:rsidRPr="00425B03" w:rsidRDefault="00446D4D" w:rsidP="00320693">
      <w:pPr>
        <w:jc w:val="both"/>
        <w:rPr>
          <w:rFonts w:asciiTheme="majorHAnsi" w:hAnsiTheme="majorHAnsi"/>
          <w:sz w:val="24"/>
          <w:lang w:val="uk-UA"/>
        </w:rPr>
      </w:pPr>
      <w:r w:rsidRPr="00425B03">
        <w:rPr>
          <w:rFonts w:asciiTheme="majorHAnsi" w:hAnsiTheme="majorHAnsi"/>
          <w:sz w:val="24"/>
          <w:lang w:val="uk-UA"/>
        </w:rPr>
        <w:t>Військові дії на Донбасі і окупація Криму стали причиною появ</w:t>
      </w:r>
      <w:r w:rsidR="00432074" w:rsidRPr="00425B03">
        <w:rPr>
          <w:rFonts w:asciiTheme="majorHAnsi" w:hAnsiTheme="majorHAnsi"/>
          <w:sz w:val="24"/>
        </w:rPr>
        <w:t>и</w:t>
      </w:r>
      <w:r w:rsidR="00432074" w:rsidRPr="00425B03">
        <w:rPr>
          <w:rFonts w:asciiTheme="majorHAnsi" w:hAnsiTheme="majorHAnsi"/>
          <w:sz w:val="24"/>
          <w:lang w:val="uk-UA"/>
        </w:rPr>
        <w:t xml:space="preserve"> в Україні складної</w:t>
      </w:r>
      <w:r w:rsidRPr="00425B03">
        <w:rPr>
          <w:rFonts w:asciiTheme="majorHAnsi" w:hAnsiTheme="majorHAnsi"/>
          <w:sz w:val="24"/>
          <w:lang w:val="uk-UA"/>
        </w:rPr>
        <w:t xml:space="preserve"> проблемою національного масштабу - близько 1 млн. громадян, які стали вимушеними переселенцями (ВПО). </w:t>
      </w:r>
      <w:r w:rsidR="009507A7" w:rsidRPr="00425B03">
        <w:rPr>
          <w:rFonts w:asciiTheme="majorHAnsi" w:hAnsiTheme="majorHAnsi"/>
          <w:sz w:val="24"/>
          <w:lang w:val="uk-UA"/>
        </w:rPr>
        <w:t>Згідно</w:t>
      </w:r>
      <w:r w:rsidRPr="00425B03">
        <w:rPr>
          <w:rFonts w:asciiTheme="majorHAnsi" w:hAnsiTheme="majorHAnsi"/>
          <w:sz w:val="24"/>
          <w:lang w:val="uk-UA"/>
        </w:rPr>
        <w:t xml:space="preserve"> з оперативною інформацією ДСНС України з тимчасово окупованої тер</w:t>
      </w:r>
      <w:r w:rsidR="00E71B78" w:rsidRPr="00425B03">
        <w:rPr>
          <w:rFonts w:asciiTheme="majorHAnsi" w:hAnsiTheme="majorHAnsi"/>
          <w:sz w:val="24"/>
          <w:lang w:val="uk-UA"/>
        </w:rPr>
        <w:t>и</w:t>
      </w:r>
      <w:r w:rsidRPr="00425B03">
        <w:rPr>
          <w:rFonts w:asciiTheme="majorHAnsi" w:hAnsiTheme="majorHAnsi"/>
          <w:sz w:val="24"/>
          <w:lang w:val="uk-UA"/>
        </w:rPr>
        <w:t>тор</w:t>
      </w:r>
      <w:r w:rsidR="00E71B78" w:rsidRPr="00425B03">
        <w:rPr>
          <w:rFonts w:asciiTheme="majorHAnsi" w:hAnsiTheme="majorHAnsi"/>
          <w:sz w:val="24"/>
          <w:lang w:val="uk-UA"/>
        </w:rPr>
        <w:t>ії</w:t>
      </w:r>
      <w:r w:rsidRPr="00425B03">
        <w:rPr>
          <w:rFonts w:asciiTheme="majorHAnsi" w:hAnsiTheme="majorHAnsi"/>
          <w:sz w:val="24"/>
          <w:lang w:val="uk-UA"/>
        </w:rPr>
        <w:t xml:space="preserve"> та районів проведення ант</w:t>
      </w:r>
      <w:r w:rsidR="00E71B78" w:rsidRPr="00425B03">
        <w:rPr>
          <w:rFonts w:asciiTheme="majorHAnsi" w:hAnsiTheme="majorHAnsi"/>
          <w:sz w:val="24"/>
          <w:lang w:val="uk-UA"/>
        </w:rPr>
        <w:t>и</w:t>
      </w:r>
      <w:r w:rsidRPr="00425B03">
        <w:rPr>
          <w:rFonts w:asciiTheme="majorHAnsi" w:hAnsiTheme="majorHAnsi"/>
          <w:sz w:val="24"/>
          <w:lang w:val="uk-UA"/>
        </w:rPr>
        <w:t>терор</w:t>
      </w:r>
      <w:r w:rsidR="00E71B78" w:rsidRPr="00425B03">
        <w:rPr>
          <w:rFonts w:asciiTheme="majorHAnsi" w:hAnsiTheme="majorHAnsi"/>
          <w:sz w:val="24"/>
          <w:lang w:val="uk-UA"/>
        </w:rPr>
        <w:t>и</w:t>
      </w:r>
      <w:r w:rsidR="009507A7" w:rsidRPr="00425B03">
        <w:rPr>
          <w:rFonts w:asciiTheme="majorHAnsi" w:hAnsiTheme="majorHAnsi"/>
          <w:sz w:val="24"/>
          <w:lang w:val="uk-UA"/>
        </w:rPr>
        <w:t>ст</w:t>
      </w:r>
      <w:r w:rsidR="00E71B78" w:rsidRPr="00425B03">
        <w:rPr>
          <w:rFonts w:asciiTheme="majorHAnsi" w:hAnsiTheme="majorHAnsi"/>
          <w:sz w:val="24"/>
          <w:lang w:val="uk-UA"/>
        </w:rPr>
        <w:t>и</w:t>
      </w:r>
      <w:r w:rsidR="009507A7" w:rsidRPr="00425B03">
        <w:rPr>
          <w:rFonts w:asciiTheme="majorHAnsi" w:hAnsiTheme="majorHAnsi"/>
          <w:sz w:val="24"/>
          <w:lang w:val="uk-UA"/>
        </w:rPr>
        <w:t>чної операції</w:t>
      </w:r>
      <w:r w:rsidRPr="00425B03">
        <w:rPr>
          <w:rFonts w:asciiTheme="majorHAnsi" w:hAnsiTheme="majorHAnsi"/>
          <w:sz w:val="24"/>
          <w:lang w:val="uk-UA"/>
        </w:rPr>
        <w:t xml:space="preserve"> до других регіонів переселено 829 тис. 188 осіб, з як</w:t>
      </w:r>
      <w:r w:rsidR="00E71B78" w:rsidRPr="00425B03">
        <w:rPr>
          <w:rFonts w:asciiTheme="majorHAnsi" w:hAnsiTheme="majorHAnsi"/>
          <w:sz w:val="24"/>
          <w:lang w:val="uk-UA"/>
        </w:rPr>
        <w:t>и</w:t>
      </w:r>
      <w:r w:rsidRPr="00425B03">
        <w:rPr>
          <w:rFonts w:asciiTheme="majorHAnsi" w:hAnsiTheme="majorHAnsi"/>
          <w:sz w:val="24"/>
          <w:lang w:val="uk-UA"/>
        </w:rPr>
        <w:t xml:space="preserve">х </w:t>
      </w:r>
      <w:r w:rsidRPr="00425B03">
        <w:rPr>
          <w:rFonts w:asciiTheme="majorHAnsi" w:hAnsiTheme="majorHAnsi"/>
          <w:b/>
          <w:sz w:val="24"/>
          <w:lang w:val="uk-UA"/>
        </w:rPr>
        <w:t>145 тис. 478 дітей</w:t>
      </w:r>
      <w:r w:rsidR="00276C57" w:rsidRPr="00425B03">
        <w:rPr>
          <w:rFonts w:asciiTheme="majorHAnsi" w:hAnsiTheme="majorHAnsi"/>
          <w:sz w:val="24"/>
          <w:lang w:val="uk-UA"/>
        </w:rPr>
        <w:t>.</w:t>
      </w:r>
      <w:r w:rsidR="003D176D" w:rsidRPr="00425B03">
        <w:rPr>
          <w:rStyle w:val="ac"/>
          <w:rFonts w:asciiTheme="majorHAnsi" w:hAnsiTheme="majorHAnsi"/>
          <w:sz w:val="24"/>
          <w:lang w:val="uk-UA"/>
        </w:rPr>
        <w:footnoteReference w:id="1"/>
      </w:r>
    </w:p>
    <w:p w:rsidR="00364808" w:rsidRPr="00425B03" w:rsidRDefault="00364808" w:rsidP="00425B03">
      <w:pPr>
        <w:spacing w:after="240"/>
        <w:jc w:val="both"/>
        <w:rPr>
          <w:rFonts w:asciiTheme="majorHAnsi" w:hAnsiTheme="majorHAnsi"/>
          <w:sz w:val="24"/>
          <w:lang w:val="uk-UA"/>
        </w:rPr>
      </w:pPr>
      <w:r w:rsidRPr="00425B03">
        <w:rPr>
          <w:rFonts w:asciiTheme="majorHAnsi" w:hAnsiTheme="majorHAnsi"/>
          <w:sz w:val="24"/>
          <w:lang w:val="uk-UA"/>
        </w:rPr>
        <w:t>Держава і суспільство опинилося перед необхідністю вирішувати цілий ряд гострих проблем вимушених переселенців, у тому числі проблему оперативного забезпечення освітніх послуг для дітей з ч</w:t>
      </w:r>
      <w:r w:rsidR="00432074" w:rsidRPr="00425B03">
        <w:rPr>
          <w:rFonts w:asciiTheme="majorHAnsi" w:hAnsiTheme="majorHAnsi"/>
          <w:sz w:val="24"/>
          <w:lang w:val="uk-UA"/>
        </w:rPr>
        <w:t>исла вимушених переселенців. Разом з тим</w:t>
      </w:r>
      <w:r w:rsidRPr="00425B03">
        <w:rPr>
          <w:rFonts w:asciiTheme="majorHAnsi" w:hAnsiTheme="majorHAnsi"/>
          <w:sz w:val="24"/>
          <w:lang w:val="uk-UA"/>
        </w:rPr>
        <w:t xml:space="preserve">, публічні послуги у сфері освіти є одними з головних конституційних </w:t>
      </w:r>
      <w:r w:rsidR="00446D4D" w:rsidRPr="00425B03">
        <w:rPr>
          <w:rFonts w:asciiTheme="majorHAnsi" w:hAnsiTheme="majorHAnsi"/>
          <w:sz w:val="24"/>
          <w:lang w:val="uk-UA"/>
        </w:rPr>
        <w:t xml:space="preserve">і </w:t>
      </w:r>
      <w:r w:rsidRPr="00425B03">
        <w:rPr>
          <w:rFonts w:asciiTheme="majorHAnsi" w:hAnsiTheme="majorHAnsi"/>
          <w:sz w:val="24"/>
          <w:lang w:val="uk-UA"/>
        </w:rPr>
        <w:t xml:space="preserve">соціально-чутливих зобов'язань держави по відношенню до своїх громадян. Тому, Міжнародний Фонд «Відродження» підтримав ініціативу низки громадських організацій у проведенні незалежного моніторингу забезпечення права на </w:t>
      </w:r>
      <w:r w:rsidR="00446D4D" w:rsidRPr="00425B03">
        <w:rPr>
          <w:rFonts w:asciiTheme="majorHAnsi" w:hAnsiTheme="majorHAnsi"/>
          <w:sz w:val="24"/>
          <w:lang w:val="uk-UA"/>
        </w:rPr>
        <w:t>освіту</w:t>
      </w:r>
      <w:r w:rsidRPr="00425B03">
        <w:rPr>
          <w:rFonts w:asciiTheme="majorHAnsi" w:hAnsiTheme="majorHAnsi"/>
          <w:sz w:val="24"/>
          <w:lang w:val="uk-UA"/>
        </w:rPr>
        <w:t xml:space="preserve"> внутрішнім переміщеним особам.</w:t>
      </w:r>
    </w:p>
    <w:p w:rsidR="00364808" w:rsidRPr="009507A7" w:rsidRDefault="00364808" w:rsidP="00364808">
      <w:pPr>
        <w:pStyle w:val="2"/>
        <w:rPr>
          <w:shd w:val="clear" w:color="auto" w:fill="FFFFFF"/>
          <w:lang w:val="uk-UA"/>
        </w:rPr>
      </w:pPr>
      <w:bookmarkStart w:id="2" w:name="_Toc417329177"/>
      <w:proofErr w:type="spellStart"/>
      <w:r w:rsidRPr="009507A7">
        <w:rPr>
          <w:shd w:val="clear" w:color="auto" w:fill="FFFFFF"/>
          <w:lang w:val="uk-UA"/>
        </w:rPr>
        <w:t>I.a</w:t>
      </w:r>
      <w:proofErr w:type="spellEnd"/>
      <w:r w:rsidRPr="009507A7">
        <w:rPr>
          <w:shd w:val="clear" w:color="auto" w:fill="FFFFFF"/>
          <w:lang w:val="uk-UA"/>
        </w:rPr>
        <w:tab/>
        <w:t>Виконавці і регіони проведення громадського мон</w:t>
      </w:r>
      <w:r w:rsidR="005A0B77" w:rsidRPr="009507A7">
        <w:rPr>
          <w:shd w:val="clear" w:color="auto" w:fill="FFFFFF"/>
          <w:lang w:val="uk-UA"/>
        </w:rPr>
        <w:t>і</w:t>
      </w:r>
      <w:r w:rsidRPr="009507A7">
        <w:rPr>
          <w:shd w:val="clear" w:color="auto" w:fill="FFFFFF"/>
          <w:lang w:val="uk-UA"/>
        </w:rPr>
        <w:t>торингу</w:t>
      </w:r>
      <w:bookmarkEnd w:id="2"/>
    </w:p>
    <w:tbl>
      <w:tblPr>
        <w:tblStyle w:val="a8"/>
        <w:tblW w:w="0" w:type="auto"/>
        <w:tblLook w:val="04A0"/>
      </w:tblPr>
      <w:tblGrid>
        <w:gridCol w:w="3778"/>
        <w:gridCol w:w="3202"/>
        <w:gridCol w:w="2591"/>
      </w:tblGrid>
      <w:tr w:rsidR="003D176D" w:rsidRPr="009507A7" w:rsidTr="003D176D">
        <w:tc>
          <w:tcPr>
            <w:tcW w:w="3778" w:type="dxa"/>
          </w:tcPr>
          <w:p w:rsidR="003D176D" w:rsidRPr="009507A7" w:rsidRDefault="003D176D" w:rsidP="007F67FE">
            <w:pPr>
              <w:spacing w:after="120"/>
              <w:rPr>
                <w:rFonts w:asciiTheme="majorHAnsi" w:hAnsiTheme="majorHAnsi"/>
                <w:b/>
                <w:lang w:val="uk-UA"/>
              </w:rPr>
            </w:pPr>
            <w:r w:rsidRPr="009507A7">
              <w:rPr>
                <w:rFonts w:asciiTheme="majorHAnsi" w:hAnsiTheme="majorHAnsi"/>
                <w:b/>
                <w:lang w:val="uk-UA"/>
              </w:rPr>
              <w:t xml:space="preserve">Назва проекту </w:t>
            </w:r>
          </w:p>
        </w:tc>
        <w:tc>
          <w:tcPr>
            <w:tcW w:w="3202" w:type="dxa"/>
          </w:tcPr>
          <w:p w:rsidR="003D176D" w:rsidRPr="009507A7" w:rsidRDefault="003D176D" w:rsidP="007F67FE">
            <w:pPr>
              <w:spacing w:after="120"/>
              <w:rPr>
                <w:rFonts w:asciiTheme="majorHAnsi" w:hAnsiTheme="majorHAnsi"/>
                <w:b/>
                <w:lang w:val="uk-UA"/>
              </w:rPr>
            </w:pPr>
            <w:r w:rsidRPr="009507A7">
              <w:rPr>
                <w:rFonts w:asciiTheme="majorHAnsi" w:hAnsiTheme="majorHAnsi"/>
                <w:b/>
                <w:lang w:val="uk-UA"/>
              </w:rPr>
              <w:t xml:space="preserve">Назва організації </w:t>
            </w:r>
          </w:p>
        </w:tc>
        <w:tc>
          <w:tcPr>
            <w:tcW w:w="2591" w:type="dxa"/>
          </w:tcPr>
          <w:p w:rsidR="003D176D" w:rsidRPr="009507A7" w:rsidRDefault="003D176D" w:rsidP="007F67FE">
            <w:pPr>
              <w:spacing w:after="120"/>
              <w:rPr>
                <w:rFonts w:asciiTheme="majorHAnsi" w:hAnsiTheme="majorHAnsi"/>
                <w:b/>
                <w:lang w:val="uk-UA"/>
              </w:rPr>
            </w:pPr>
            <w:r w:rsidRPr="009507A7">
              <w:rPr>
                <w:rFonts w:asciiTheme="majorHAnsi" w:hAnsiTheme="majorHAnsi"/>
                <w:b/>
                <w:lang w:val="uk-UA"/>
              </w:rPr>
              <w:t>Регіон дослідження</w:t>
            </w:r>
          </w:p>
        </w:tc>
      </w:tr>
      <w:tr w:rsidR="003D176D" w:rsidRPr="009507A7" w:rsidTr="003D176D">
        <w:tc>
          <w:tcPr>
            <w:tcW w:w="3778" w:type="dxa"/>
          </w:tcPr>
          <w:p w:rsidR="003D176D" w:rsidRPr="009507A7" w:rsidRDefault="003D176D" w:rsidP="007F67FE">
            <w:pPr>
              <w:spacing w:after="120"/>
              <w:rPr>
                <w:rFonts w:asciiTheme="majorHAnsi" w:hAnsiTheme="majorHAnsi"/>
                <w:lang w:val="uk-UA"/>
              </w:rPr>
            </w:pPr>
            <w:r w:rsidRPr="009507A7">
              <w:rPr>
                <w:rFonts w:asciiTheme="majorHAnsi" w:hAnsiTheme="majorHAnsi"/>
                <w:lang w:val="uk-UA"/>
              </w:rPr>
              <w:t>Моніторинг реалізації права на вищу освіту внутрішньо переміщених осіб у місцях їх тимчасового перебування та на території Луганської області</w:t>
            </w:r>
          </w:p>
        </w:tc>
        <w:tc>
          <w:tcPr>
            <w:tcW w:w="3202" w:type="dxa"/>
          </w:tcPr>
          <w:p w:rsidR="003D176D" w:rsidRPr="009507A7" w:rsidRDefault="003D176D" w:rsidP="007F67FE">
            <w:pPr>
              <w:spacing w:after="120"/>
              <w:rPr>
                <w:rFonts w:asciiTheme="majorHAnsi" w:hAnsiTheme="majorHAnsi"/>
                <w:lang w:val="uk-UA"/>
              </w:rPr>
            </w:pPr>
            <w:r w:rsidRPr="009507A7">
              <w:rPr>
                <w:rFonts w:asciiTheme="majorHAnsi" w:hAnsiTheme="majorHAnsi"/>
                <w:lang w:val="uk-UA"/>
              </w:rPr>
              <w:t>Громадська організація "Громадська ініціатива Луганщини"</w:t>
            </w:r>
          </w:p>
        </w:tc>
        <w:tc>
          <w:tcPr>
            <w:tcW w:w="2591" w:type="dxa"/>
          </w:tcPr>
          <w:p w:rsidR="003D176D" w:rsidRPr="009507A7" w:rsidRDefault="003D176D" w:rsidP="007F67FE">
            <w:pPr>
              <w:spacing w:after="120"/>
              <w:rPr>
                <w:rFonts w:asciiTheme="majorHAnsi" w:hAnsiTheme="majorHAnsi"/>
                <w:lang w:val="uk-UA"/>
              </w:rPr>
            </w:pPr>
            <w:r w:rsidRPr="009507A7">
              <w:rPr>
                <w:rFonts w:asciiTheme="majorHAnsi" w:hAnsiTheme="majorHAnsi"/>
                <w:lang w:val="uk-UA"/>
              </w:rPr>
              <w:t>Луганська область</w:t>
            </w:r>
          </w:p>
        </w:tc>
      </w:tr>
      <w:tr w:rsidR="003D176D" w:rsidRPr="009507A7" w:rsidTr="003D176D">
        <w:tc>
          <w:tcPr>
            <w:tcW w:w="3778" w:type="dxa"/>
          </w:tcPr>
          <w:p w:rsidR="003D176D" w:rsidRPr="009507A7" w:rsidRDefault="003D176D" w:rsidP="007F67FE">
            <w:pPr>
              <w:spacing w:after="120"/>
              <w:rPr>
                <w:rFonts w:asciiTheme="majorHAnsi" w:hAnsiTheme="majorHAnsi"/>
                <w:lang w:val="uk-UA"/>
              </w:rPr>
            </w:pPr>
            <w:r w:rsidRPr="009507A7">
              <w:rPr>
                <w:rFonts w:asciiTheme="majorHAnsi" w:hAnsiTheme="majorHAnsi"/>
                <w:lang w:val="uk-UA"/>
              </w:rPr>
              <w:t>Проведення громадського моніторингу забезпечення права на освіту внутрішньо переміщених осіб</w:t>
            </w:r>
          </w:p>
        </w:tc>
        <w:tc>
          <w:tcPr>
            <w:tcW w:w="3202" w:type="dxa"/>
          </w:tcPr>
          <w:p w:rsidR="003D176D" w:rsidRPr="009507A7" w:rsidRDefault="003D176D" w:rsidP="007F67FE">
            <w:pPr>
              <w:spacing w:after="120"/>
              <w:rPr>
                <w:rFonts w:asciiTheme="majorHAnsi" w:hAnsiTheme="majorHAnsi"/>
                <w:lang w:val="uk-UA"/>
              </w:rPr>
            </w:pPr>
            <w:r w:rsidRPr="009507A7">
              <w:rPr>
                <w:rFonts w:asciiTheme="majorHAnsi" w:hAnsiTheme="majorHAnsi"/>
                <w:lang w:val="uk-UA"/>
              </w:rPr>
              <w:t>Запорізька міська молодіжна громадська організація "СТЕП"</w:t>
            </w:r>
          </w:p>
          <w:p w:rsidR="003D176D" w:rsidRPr="009507A7" w:rsidRDefault="003D176D" w:rsidP="007F67FE">
            <w:pPr>
              <w:spacing w:after="120"/>
              <w:rPr>
                <w:rFonts w:asciiTheme="majorHAnsi" w:hAnsiTheme="majorHAnsi"/>
                <w:lang w:val="uk-UA"/>
              </w:rPr>
            </w:pPr>
          </w:p>
        </w:tc>
        <w:tc>
          <w:tcPr>
            <w:tcW w:w="2591" w:type="dxa"/>
          </w:tcPr>
          <w:p w:rsidR="003D176D" w:rsidRPr="009507A7" w:rsidRDefault="003D176D" w:rsidP="007F67FE">
            <w:pPr>
              <w:spacing w:after="120"/>
              <w:rPr>
                <w:rFonts w:asciiTheme="majorHAnsi" w:hAnsiTheme="majorHAnsi"/>
                <w:lang w:val="uk-UA"/>
              </w:rPr>
            </w:pPr>
            <w:r w:rsidRPr="009507A7">
              <w:rPr>
                <w:rFonts w:asciiTheme="majorHAnsi" w:hAnsiTheme="majorHAnsi"/>
                <w:lang w:val="uk-UA"/>
              </w:rPr>
              <w:t>Запорізька і Херсонська область</w:t>
            </w:r>
          </w:p>
        </w:tc>
      </w:tr>
      <w:tr w:rsidR="003D176D" w:rsidRPr="009507A7" w:rsidTr="003D176D">
        <w:tc>
          <w:tcPr>
            <w:tcW w:w="3778" w:type="dxa"/>
          </w:tcPr>
          <w:p w:rsidR="003D176D" w:rsidRPr="009507A7" w:rsidRDefault="003D176D" w:rsidP="007F67FE">
            <w:pPr>
              <w:spacing w:after="120"/>
              <w:rPr>
                <w:rFonts w:asciiTheme="majorHAnsi" w:hAnsiTheme="majorHAnsi"/>
                <w:lang w:val="uk-UA"/>
              </w:rPr>
            </w:pPr>
            <w:r w:rsidRPr="009507A7">
              <w:rPr>
                <w:rFonts w:asciiTheme="majorHAnsi" w:hAnsiTheme="majorHAnsi"/>
                <w:lang w:val="uk-UA"/>
              </w:rPr>
              <w:t>«</w:t>
            </w:r>
            <w:proofErr w:type="spellStart"/>
            <w:r w:rsidRPr="009507A7">
              <w:rPr>
                <w:rFonts w:asciiTheme="majorHAnsi" w:hAnsiTheme="majorHAnsi"/>
                <w:lang w:val="uk-UA"/>
              </w:rPr>
              <w:t>Адвокація</w:t>
            </w:r>
            <w:proofErr w:type="spellEnd"/>
            <w:r w:rsidRPr="009507A7">
              <w:rPr>
                <w:rFonts w:asciiTheme="majorHAnsi" w:hAnsiTheme="majorHAnsi"/>
                <w:lang w:val="uk-UA"/>
              </w:rPr>
              <w:t xml:space="preserve"> права на освіту внутрішньо переміщених осіб у сумських ВНЗ»</w:t>
            </w:r>
          </w:p>
        </w:tc>
        <w:tc>
          <w:tcPr>
            <w:tcW w:w="3202" w:type="dxa"/>
          </w:tcPr>
          <w:p w:rsidR="003D176D" w:rsidRPr="009507A7" w:rsidRDefault="003D176D" w:rsidP="007F67FE">
            <w:pPr>
              <w:spacing w:after="120"/>
              <w:rPr>
                <w:rFonts w:asciiTheme="majorHAnsi" w:hAnsiTheme="majorHAnsi"/>
                <w:lang w:val="uk-UA"/>
              </w:rPr>
            </w:pPr>
            <w:r w:rsidRPr="009507A7">
              <w:rPr>
                <w:rFonts w:asciiTheme="majorHAnsi" w:hAnsiTheme="majorHAnsi"/>
                <w:lang w:val="uk-UA"/>
              </w:rPr>
              <w:t>ГО «Рада молодих вчених»</w:t>
            </w:r>
          </w:p>
          <w:p w:rsidR="003D176D" w:rsidRPr="009507A7" w:rsidRDefault="003D176D" w:rsidP="007F67FE">
            <w:pPr>
              <w:spacing w:after="120"/>
              <w:rPr>
                <w:rFonts w:asciiTheme="majorHAnsi" w:hAnsiTheme="majorHAnsi"/>
                <w:lang w:val="uk-UA"/>
              </w:rPr>
            </w:pPr>
          </w:p>
        </w:tc>
        <w:tc>
          <w:tcPr>
            <w:tcW w:w="2591" w:type="dxa"/>
          </w:tcPr>
          <w:p w:rsidR="003D176D" w:rsidRPr="009507A7" w:rsidRDefault="003D176D" w:rsidP="007F67FE">
            <w:pPr>
              <w:spacing w:after="120"/>
              <w:rPr>
                <w:rFonts w:asciiTheme="majorHAnsi" w:hAnsiTheme="majorHAnsi"/>
                <w:lang w:val="uk-UA"/>
              </w:rPr>
            </w:pPr>
            <w:r w:rsidRPr="009507A7">
              <w:rPr>
                <w:rFonts w:asciiTheme="majorHAnsi" w:hAnsiTheme="majorHAnsi"/>
                <w:lang w:val="uk-UA"/>
              </w:rPr>
              <w:t>Сумська область</w:t>
            </w:r>
          </w:p>
        </w:tc>
      </w:tr>
      <w:tr w:rsidR="003D176D" w:rsidRPr="00432074" w:rsidTr="003D176D">
        <w:tc>
          <w:tcPr>
            <w:tcW w:w="3778" w:type="dxa"/>
          </w:tcPr>
          <w:p w:rsidR="003D176D" w:rsidRPr="009507A7" w:rsidRDefault="003D176D" w:rsidP="007F67FE">
            <w:pPr>
              <w:spacing w:after="120"/>
              <w:rPr>
                <w:rFonts w:asciiTheme="majorHAnsi" w:hAnsiTheme="majorHAnsi"/>
                <w:lang w:val="uk-UA"/>
              </w:rPr>
            </w:pPr>
            <w:r w:rsidRPr="009507A7">
              <w:rPr>
                <w:rFonts w:asciiTheme="majorHAnsi" w:hAnsiTheme="majorHAnsi"/>
                <w:lang w:val="uk-UA"/>
              </w:rPr>
              <w:t>“Моніторинг стану реалізації права на освіту студентами вищих навчальних закладів Донбасу”</w:t>
            </w:r>
          </w:p>
        </w:tc>
        <w:tc>
          <w:tcPr>
            <w:tcW w:w="3202" w:type="dxa"/>
          </w:tcPr>
          <w:p w:rsidR="003D176D" w:rsidRPr="009507A7" w:rsidRDefault="003D176D" w:rsidP="007F67FE">
            <w:pPr>
              <w:spacing w:after="120"/>
              <w:rPr>
                <w:rFonts w:asciiTheme="majorHAnsi" w:hAnsiTheme="majorHAnsi"/>
                <w:lang w:val="uk-UA"/>
              </w:rPr>
            </w:pPr>
            <w:r w:rsidRPr="009507A7">
              <w:rPr>
                <w:rFonts w:asciiTheme="majorHAnsi" w:hAnsiTheme="majorHAnsi"/>
                <w:lang w:val="uk-UA"/>
              </w:rPr>
              <w:t>Всеукраїнською молодіжною громадською організацією “Національний студентський союз”</w:t>
            </w:r>
          </w:p>
        </w:tc>
        <w:tc>
          <w:tcPr>
            <w:tcW w:w="2591" w:type="dxa"/>
          </w:tcPr>
          <w:p w:rsidR="003D176D" w:rsidRPr="009507A7" w:rsidRDefault="00432074" w:rsidP="00432074">
            <w:pPr>
              <w:spacing w:after="120"/>
              <w:rPr>
                <w:rFonts w:asciiTheme="majorHAnsi" w:hAnsiTheme="majorHAnsi"/>
                <w:lang w:val="uk-UA"/>
              </w:rPr>
            </w:pPr>
            <w:r>
              <w:rPr>
                <w:rFonts w:asciiTheme="majorHAnsi" w:hAnsiTheme="majorHAnsi"/>
                <w:lang w:val="uk-UA"/>
              </w:rPr>
              <w:t>Харківська, Дніпропетровська, Запорізька, Одеська, Київська</w:t>
            </w:r>
            <w:r w:rsidR="00C234F8">
              <w:rPr>
                <w:rFonts w:asciiTheme="majorHAnsi" w:hAnsiTheme="majorHAnsi"/>
                <w:lang w:val="uk-UA"/>
              </w:rPr>
              <w:t xml:space="preserve"> </w:t>
            </w:r>
            <w:r w:rsidRPr="00432074">
              <w:rPr>
                <w:rFonts w:ascii="Cambria" w:eastAsia="Calibri" w:hAnsi="Cambria" w:cs="Times New Roman"/>
                <w:lang w:val="uk-UA"/>
              </w:rPr>
              <w:t xml:space="preserve"> област</w:t>
            </w:r>
            <w:r>
              <w:rPr>
                <w:rFonts w:asciiTheme="majorHAnsi" w:hAnsiTheme="majorHAnsi"/>
                <w:lang w:val="uk-UA"/>
              </w:rPr>
              <w:t>і</w:t>
            </w:r>
            <w:r w:rsidRPr="00432074">
              <w:rPr>
                <w:rFonts w:ascii="Cambria" w:eastAsia="Calibri" w:hAnsi="Cambria" w:cs="Times New Roman"/>
                <w:lang w:val="uk-UA"/>
              </w:rPr>
              <w:t xml:space="preserve"> та міста Київ</w:t>
            </w:r>
          </w:p>
        </w:tc>
      </w:tr>
      <w:tr w:rsidR="003D176D" w:rsidRPr="009507A7" w:rsidTr="003D176D">
        <w:tc>
          <w:tcPr>
            <w:tcW w:w="3778" w:type="dxa"/>
          </w:tcPr>
          <w:p w:rsidR="003D176D" w:rsidRPr="009507A7" w:rsidRDefault="003D176D" w:rsidP="007F67FE">
            <w:pPr>
              <w:spacing w:after="120"/>
              <w:rPr>
                <w:rFonts w:asciiTheme="majorHAnsi" w:hAnsiTheme="majorHAnsi"/>
                <w:lang w:val="uk-UA"/>
              </w:rPr>
            </w:pPr>
            <w:r w:rsidRPr="009507A7">
              <w:rPr>
                <w:rFonts w:asciiTheme="majorHAnsi" w:hAnsiTheme="majorHAnsi"/>
                <w:lang w:val="uk-UA"/>
              </w:rPr>
              <w:t xml:space="preserve">Центр контролю за забезпеченням права на освіту внутрішньо </w:t>
            </w:r>
            <w:r w:rsidRPr="009507A7">
              <w:rPr>
                <w:rFonts w:asciiTheme="majorHAnsi" w:hAnsiTheme="majorHAnsi"/>
                <w:lang w:val="uk-UA"/>
              </w:rPr>
              <w:lastRenderedPageBreak/>
              <w:t>переміщених осіб на території Харківської області</w:t>
            </w:r>
          </w:p>
          <w:p w:rsidR="003D176D" w:rsidRPr="009507A7" w:rsidRDefault="003D176D" w:rsidP="007F67FE">
            <w:pPr>
              <w:spacing w:after="120"/>
              <w:rPr>
                <w:rFonts w:asciiTheme="majorHAnsi" w:hAnsiTheme="majorHAnsi"/>
                <w:lang w:val="uk-UA"/>
              </w:rPr>
            </w:pPr>
          </w:p>
        </w:tc>
        <w:tc>
          <w:tcPr>
            <w:tcW w:w="3202" w:type="dxa"/>
          </w:tcPr>
          <w:p w:rsidR="003D176D" w:rsidRPr="009507A7" w:rsidRDefault="003D176D" w:rsidP="007F67FE">
            <w:pPr>
              <w:spacing w:after="120"/>
              <w:rPr>
                <w:rFonts w:asciiTheme="majorHAnsi" w:hAnsiTheme="majorHAnsi"/>
                <w:lang w:val="uk-UA"/>
              </w:rPr>
            </w:pPr>
            <w:r w:rsidRPr="009507A7">
              <w:rPr>
                <w:rFonts w:asciiTheme="majorHAnsi" w:hAnsiTheme="majorHAnsi"/>
                <w:lang w:val="uk-UA"/>
              </w:rPr>
              <w:lastRenderedPageBreak/>
              <w:t xml:space="preserve">Чугуївська </w:t>
            </w:r>
            <w:proofErr w:type="spellStart"/>
            <w:r w:rsidRPr="009507A7">
              <w:rPr>
                <w:rFonts w:asciiTheme="majorHAnsi" w:hAnsiTheme="majorHAnsi"/>
                <w:lang w:val="uk-UA"/>
              </w:rPr>
              <w:t>міськрайон</w:t>
            </w:r>
            <w:r w:rsidR="00E71B78">
              <w:rPr>
                <w:rFonts w:asciiTheme="majorHAnsi" w:hAnsiTheme="majorHAnsi"/>
                <w:lang w:val="uk-UA"/>
              </w:rPr>
              <w:t>н</w:t>
            </w:r>
            <w:r w:rsidRPr="009507A7">
              <w:rPr>
                <w:rFonts w:asciiTheme="majorHAnsi" w:hAnsiTheme="majorHAnsi"/>
                <w:lang w:val="uk-UA"/>
              </w:rPr>
              <w:t>а</w:t>
            </w:r>
            <w:proofErr w:type="spellEnd"/>
            <w:r w:rsidRPr="009507A7">
              <w:rPr>
                <w:rFonts w:asciiTheme="majorHAnsi" w:hAnsiTheme="majorHAnsi"/>
                <w:lang w:val="uk-UA"/>
              </w:rPr>
              <w:t xml:space="preserve"> громадська організація </w:t>
            </w:r>
            <w:r w:rsidRPr="009507A7">
              <w:rPr>
                <w:rFonts w:asciiTheme="majorHAnsi" w:hAnsiTheme="majorHAnsi"/>
                <w:lang w:val="uk-UA"/>
              </w:rPr>
              <w:lastRenderedPageBreak/>
              <w:t>"Чугуївська правозахисна група"</w:t>
            </w:r>
          </w:p>
        </w:tc>
        <w:tc>
          <w:tcPr>
            <w:tcW w:w="2591" w:type="dxa"/>
          </w:tcPr>
          <w:p w:rsidR="003D176D" w:rsidRPr="009507A7" w:rsidRDefault="003D176D" w:rsidP="007F67FE">
            <w:pPr>
              <w:spacing w:after="120"/>
              <w:rPr>
                <w:rFonts w:asciiTheme="majorHAnsi" w:hAnsiTheme="majorHAnsi"/>
                <w:lang w:val="uk-UA"/>
              </w:rPr>
            </w:pPr>
            <w:r w:rsidRPr="009507A7">
              <w:rPr>
                <w:rFonts w:asciiTheme="majorHAnsi" w:hAnsiTheme="majorHAnsi"/>
                <w:lang w:val="uk-UA"/>
              </w:rPr>
              <w:lastRenderedPageBreak/>
              <w:t>Харківська область</w:t>
            </w:r>
          </w:p>
        </w:tc>
      </w:tr>
      <w:tr w:rsidR="003D176D" w:rsidRPr="009507A7" w:rsidTr="003D176D">
        <w:tc>
          <w:tcPr>
            <w:tcW w:w="3778" w:type="dxa"/>
          </w:tcPr>
          <w:p w:rsidR="003D176D" w:rsidRPr="009507A7" w:rsidRDefault="007F67FE" w:rsidP="007F67FE">
            <w:pPr>
              <w:spacing w:after="120"/>
              <w:rPr>
                <w:rFonts w:asciiTheme="majorHAnsi" w:hAnsiTheme="majorHAnsi"/>
                <w:lang w:val="uk-UA"/>
              </w:rPr>
            </w:pPr>
            <w:r w:rsidRPr="009507A7">
              <w:rPr>
                <w:rFonts w:asciiTheme="majorHAnsi" w:hAnsiTheme="majorHAnsi"/>
                <w:lang w:val="uk-UA"/>
              </w:rPr>
              <w:lastRenderedPageBreak/>
              <w:t>Громадський аудит: забезпечення права на освіту внутрішньо переміщених осіб" в м. Києві.</w:t>
            </w:r>
          </w:p>
        </w:tc>
        <w:tc>
          <w:tcPr>
            <w:tcW w:w="3202" w:type="dxa"/>
          </w:tcPr>
          <w:p w:rsidR="003D176D" w:rsidRPr="009507A7" w:rsidRDefault="007F67FE" w:rsidP="007F67FE">
            <w:pPr>
              <w:spacing w:after="120"/>
              <w:rPr>
                <w:rFonts w:asciiTheme="majorHAnsi" w:hAnsiTheme="majorHAnsi"/>
                <w:lang w:val="uk-UA"/>
              </w:rPr>
            </w:pPr>
            <w:r w:rsidRPr="009507A7">
              <w:rPr>
                <w:rFonts w:asciiTheme="majorHAnsi" w:hAnsiTheme="majorHAnsi"/>
                <w:lang w:val="uk-UA"/>
              </w:rPr>
              <w:t>Громадська організація "Кримська правозахисна ініціатива"</w:t>
            </w:r>
          </w:p>
        </w:tc>
        <w:tc>
          <w:tcPr>
            <w:tcW w:w="2591" w:type="dxa"/>
          </w:tcPr>
          <w:p w:rsidR="003D176D" w:rsidRPr="009507A7" w:rsidRDefault="003D176D" w:rsidP="007F67FE">
            <w:pPr>
              <w:spacing w:after="120"/>
              <w:rPr>
                <w:rFonts w:asciiTheme="majorHAnsi" w:hAnsiTheme="majorHAnsi"/>
                <w:lang w:val="uk-UA"/>
              </w:rPr>
            </w:pPr>
            <w:r w:rsidRPr="009507A7">
              <w:rPr>
                <w:rFonts w:asciiTheme="majorHAnsi" w:hAnsiTheme="majorHAnsi"/>
                <w:lang w:val="uk-UA"/>
              </w:rPr>
              <w:t>м.</w:t>
            </w:r>
            <w:r w:rsidR="00E71B78">
              <w:rPr>
                <w:rFonts w:asciiTheme="majorHAnsi" w:hAnsiTheme="majorHAnsi"/>
                <w:lang w:val="uk-UA"/>
              </w:rPr>
              <w:t xml:space="preserve"> </w:t>
            </w:r>
            <w:r w:rsidRPr="009507A7">
              <w:rPr>
                <w:rFonts w:asciiTheme="majorHAnsi" w:hAnsiTheme="majorHAnsi"/>
                <w:lang w:val="uk-UA"/>
              </w:rPr>
              <w:t xml:space="preserve">Київ </w:t>
            </w:r>
          </w:p>
        </w:tc>
      </w:tr>
      <w:tr w:rsidR="003D176D" w:rsidRPr="009507A7" w:rsidTr="003D176D">
        <w:tc>
          <w:tcPr>
            <w:tcW w:w="3778" w:type="dxa"/>
          </w:tcPr>
          <w:p w:rsidR="003D176D" w:rsidRPr="009507A7" w:rsidRDefault="003D176D" w:rsidP="007F67FE">
            <w:pPr>
              <w:spacing w:after="120"/>
              <w:rPr>
                <w:rFonts w:asciiTheme="majorHAnsi" w:hAnsiTheme="majorHAnsi"/>
                <w:lang w:val="uk-UA"/>
              </w:rPr>
            </w:pPr>
            <w:r w:rsidRPr="009507A7">
              <w:rPr>
                <w:rFonts w:asciiTheme="majorHAnsi" w:hAnsiTheme="majorHAnsi"/>
                <w:lang w:val="uk-UA"/>
              </w:rPr>
              <w:t>“Моніторинг стану та розробка рекомендацій щодо якості освіти серед школярів та студентів ВПО у Луганській області”</w:t>
            </w:r>
          </w:p>
        </w:tc>
        <w:tc>
          <w:tcPr>
            <w:tcW w:w="3202" w:type="dxa"/>
          </w:tcPr>
          <w:p w:rsidR="003D176D" w:rsidRPr="009507A7" w:rsidRDefault="003D176D" w:rsidP="007F67FE">
            <w:pPr>
              <w:spacing w:after="120"/>
              <w:rPr>
                <w:rFonts w:asciiTheme="majorHAnsi" w:hAnsiTheme="majorHAnsi"/>
                <w:lang w:val="uk-UA"/>
              </w:rPr>
            </w:pPr>
            <w:r w:rsidRPr="009507A7">
              <w:rPr>
                <w:rFonts w:asciiTheme="majorHAnsi" w:hAnsiTheme="majorHAnsi"/>
                <w:lang w:val="uk-UA"/>
              </w:rPr>
              <w:t>Громадська організація “Трибун”</w:t>
            </w:r>
          </w:p>
        </w:tc>
        <w:tc>
          <w:tcPr>
            <w:tcW w:w="2591" w:type="dxa"/>
          </w:tcPr>
          <w:p w:rsidR="003D176D" w:rsidRPr="009507A7" w:rsidRDefault="003D176D" w:rsidP="007F67FE">
            <w:pPr>
              <w:spacing w:after="120"/>
              <w:rPr>
                <w:rFonts w:asciiTheme="majorHAnsi" w:hAnsiTheme="majorHAnsi"/>
                <w:lang w:val="uk-UA"/>
              </w:rPr>
            </w:pPr>
            <w:r w:rsidRPr="009507A7">
              <w:rPr>
                <w:rFonts w:asciiTheme="majorHAnsi" w:hAnsiTheme="majorHAnsi"/>
                <w:lang w:val="uk-UA"/>
              </w:rPr>
              <w:t>м. Рубіжне Луганська область</w:t>
            </w:r>
          </w:p>
        </w:tc>
      </w:tr>
      <w:tr w:rsidR="007F67FE" w:rsidRPr="009507A7" w:rsidTr="003D176D">
        <w:tc>
          <w:tcPr>
            <w:tcW w:w="3778" w:type="dxa"/>
          </w:tcPr>
          <w:p w:rsidR="007F67FE" w:rsidRPr="009507A7" w:rsidRDefault="007F67FE" w:rsidP="007F67FE">
            <w:pPr>
              <w:spacing w:after="120"/>
              <w:rPr>
                <w:rFonts w:asciiTheme="majorHAnsi" w:hAnsiTheme="majorHAnsi"/>
                <w:lang w:val="uk-UA"/>
              </w:rPr>
            </w:pPr>
            <w:r w:rsidRPr="009507A7">
              <w:rPr>
                <w:rFonts w:asciiTheme="majorHAnsi" w:hAnsiTheme="majorHAnsi"/>
                <w:lang w:val="uk-UA"/>
              </w:rPr>
              <w:t>Забезпечення права на освіту внутрішньо переміщених осіб, що перебувають на території Волинсь</w:t>
            </w:r>
            <w:r w:rsidR="005A0B77" w:rsidRPr="009507A7">
              <w:rPr>
                <w:rFonts w:asciiTheme="majorHAnsi" w:hAnsiTheme="majorHAnsi"/>
                <w:lang w:val="uk-UA"/>
              </w:rPr>
              <w:t>к</w:t>
            </w:r>
            <w:r w:rsidRPr="009507A7">
              <w:rPr>
                <w:rFonts w:asciiTheme="majorHAnsi" w:hAnsiTheme="majorHAnsi"/>
                <w:lang w:val="uk-UA"/>
              </w:rPr>
              <w:t>ої області</w:t>
            </w:r>
          </w:p>
        </w:tc>
        <w:tc>
          <w:tcPr>
            <w:tcW w:w="3202" w:type="dxa"/>
          </w:tcPr>
          <w:p w:rsidR="007F67FE" w:rsidRPr="009507A7" w:rsidRDefault="007F67FE" w:rsidP="007F67FE">
            <w:pPr>
              <w:spacing w:after="120"/>
              <w:rPr>
                <w:rFonts w:asciiTheme="majorHAnsi" w:hAnsiTheme="majorHAnsi"/>
                <w:lang w:val="uk-UA"/>
              </w:rPr>
            </w:pPr>
            <w:r w:rsidRPr="009507A7">
              <w:rPr>
                <w:rFonts w:asciiTheme="majorHAnsi" w:hAnsiTheme="majorHAnsi"/>
                <w:lang w:val="uk-UA"/>
              </w:rPr>
              <w:t>Волинська обласна громадська молодіжна організація ВОГМО «Волинський Інститут Підтримки та розвитку Громадських Ініціатив»</w:t>
            </w:r>
          </w:p>
        </w:tc>
        <w:tc>
          <w:tcPr>
            <w:tcW w:w="2591" w:type="dxa"/>
          </w:tcPr>
          <w:p w:rsidR="007F67FE" w:rsidRPr="009507A7" w:rsidRDefault="007F67FE" w:rsidP="007F67FE">
            <w:pPr>
              <w:spacing w:after="120"/>
              <w:rPr>
                <w:rFonts w:asciiTheme="majorHAnsi" w:hAnsiTheme="majorHAnsi"/>
                <w:lang w:val="uk-UA"/>
              </w:rPr>
            </w:pPr>
            <w:r w:rsidRPr="009507A7">
              <w:rPr>
                <w:rFonts w:asciiTheme="majorHAnsi" w:hAnsiTheme="majorHAnsi"/>
                <w:lang w:val="uk-UA"/>
              </w:rPr>
              <w:t>Волинська область, м.</w:t>
            </w:r>
            <w:r w:rsidR="00432074">
              <w:rPr>
                <w:rFonts w:asciiTheme="majorHAnsi" w:hAnsiTheme="majorHAnsi"/>
                <w:lang w:val="uk-UA"/>
              </w:rPr>
              <w:t xml:space="preserve"> </w:t>
            </w:r>
            <w:r w:rsidRPr="009507A7">
              <w:rPr>
                <w:rFonts w:asciiTheme="majorHAnsi" w:hAnsiTheme="majorHAnsi"/>
                <w:lang w:val="uk-UA"/>
              </w:rPr>
              <w:t>Луцьк</w:t>
            </w:r>
          </w:p>
        </w:tc>
      </w:tr>
    </w:tbl>
    <w:p w:rsidR="00425B03" w:rsidRDefault="00425B03" w:rsidP="00C234F8">
      <w:pPr>
        <w:jc w:val="center"/>
        <w:rPr>
          <w:b/>
          <w:sz w:val="24"/>
          <w:szCs w:val="24"/>
          <w:lang w:val="uk-UA"/>
        </w:rPr>
      </w:pPr>
    </w:p>
    <w:p w:rsidR="00E8312E" w:rsidRPr="00C234F8" w:rsidRDefault="00C234F8" w:rsidP="00C234F8">
      <w:pPr>
        <w:jc w:val="center"/>
        <w:rPr>
          <w:b/>
          <w:sz w:val="24"/>
          <w:szCs w:val="24"/>
          <w:lang w:val="uk-UA"/>
        </w:rPr>
      </w:pPr>
      <w:r w:rsidRPr="00C234F8">
        <w:rPr>
          <w:b/>
          <w:sz w:val="24"/>
          <w:szCs w:val="24"/>
          <w:lang w:val="uk-UA"/>
        </w:rPr>
        <w:t>Регіони, де проводився громадський моніторинг</w:t>
      </w:r>
    </w:p>
    <w:p w:rsidR="00E8312E" w:rsidRPr="009507A7" w:rsidRDefault="00C234F8" w:rsidP="00702616">
      <w:pPr>
        <w:rPr>
          <w:lang w:val="uk-UA"/>
        </w:rPr>
      </w:pPr>
      <w:r w:rsidRPr="00C234F8">
        <w:rPr>
          <w:noProof/>
          <w:lang w:val="en-US"/>
        </w:rPr>
        <w:drawing>
          <wp:inline distT="0" distB="0" distL="0" distR="0">
            <wp:extent cx="5939562" cy="3391786"/>
            <wp:effectExtent l="19050" t="0" r="4038"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940425" cy="3392279"/>
                    </a:xfrm>
                    <a:prstGeom prst="rect">
                      <a:avLst/>
                    </a:prstGeom>
                    <a:noFill/>
                  </pic:spPr>
                </pic:pic>
              </a:graphicData>
            </a:graphic>
          </wp:inline>
        </w:drawing>
      </w:r>
    </w:p>
    <w:p w:rsidR="00364808" w:rsidRPr="00425B03" w:rsidRDefault="00364808" w:rsidP="007F67FE">
      <w:pPr>
        <w:jc w:val="both"/>
        <w:rPr>
          <w:rFonts w:asciiTheme="majorHAnsi" w:hAnsiTheme="majorHAnsi"/>
          <w:sz w:val="24"/>
          <w:lang w:val="uk-UA"/>
        </w:rPr>
      </w:pPr>
      <w:r w:rsidRPr="00425B03">
        <w:rPr>
          <w:rFonts w:asciiTheme="majorHAnsi" w:hAnsiTheme="majorHAnsi"/>
          <w:sz w:val="24"/>
          <w:lang w:val="uk-UA"/>
        </w:rPr>
        <w:t>Як видно з карти проведення досліджень, моніторинг був проведений в різних регіонах України, що підвищує репрезентативність його результатів. Важливим елементом проведеного моніторингу є той факт, що були проведені дослідження там де зафіксована найбільша чисельність ВПО (Харківська область), середня кількість ВПО (Запорізька, Київська області, м.</w:t>
      </w:r>
      <w:r w:rsidR="00AF7D0C" w:rsidRPr="00425B03">
        <w:rPr>
          <w:rFonts w:asciiTheme="majorHAnsi" w:hAnsiTheme="majorHAnsi"/>
          <w:sz w:val="24"/>
          <w:lang w:val="uk-UA"/>
        </w:rPr>
        <w:t xml:space="preserve"> </w:t>
      </w:r>
      <w:r w:rsidRPr="00425B03">
        <w:rPr>
          <w:rFonts w:asciiTheme="majorHAnsi" w:hAnsiTheme="majorHAnsi"/>
          <w:sz w:val="24"/>
          <w:lang w:val="uk-UA"/>
        </w:rPr>
        <w:t xml:space="preserve">Київ), і регіони з найменшою кількістю ВПО (Волинська область). Таким чином, порівняльний аналіз результатів досліджень у різних регіонах показує, наскільки реалізуються органами державної влади та установами освіти принципи верховенства права (законність, доступність, право на </w:t>
      </w:r>
      <w:r w:rsidRPr="00425B03">
        <w:rPr>
          <w:rFonts w:asciiTheme="majorHAnsi" w:hAnsiTheme="majorHAnsi"/>
          <w:sz w:val="24"/>
          <w:lang w:val="uk-UA"/>
        </w:rPr>
        <w:lastRenderedPageBreak/>
        <w:t>оскарження, прозорість і т.д.) у сфері забезпечення освіти для ВПО залежно від їх чисельності.</w:t>
      </w:r>
      <w:r w:rsidRPr="00425B03">
        <w:rPr>
          <w:rStyle w:val="ac"/>
          <w:rFonts w:asciiTheme="majorHAnsi" w:hAnsiTheme="majorHAnsi"/>
          <w:sz w:val="24"/>
          <w:lang w:val="uk-UA"/>
        </w:rPr>
        <w:footnoteReference w:id="2"/>
      </w:r>
    </w:p>
    <w:p w:rsidR="000D13D6" w:rsidRPr="009507A7" w:rsidRDefault="000D13D6" w:rsidP="0084129D">
      <w:pPr>
        <w:pStyle w:val="2"/>
        <w:rPr>
          <w:shd w:val="clear" w:color="auto" w:fill="FFFFFF"/>
          <w:lang w:val="uk-UA"/>
        </w:rPr>
      </w:pPr>
      <w:bookmarkStart w:id="3" w:name="_Toc417329178"/>
      <w:proofErr w:type="spellStart"/>
      <w:r w:rsidRPr="009507A7">
        <w:rPr>
          <w:shd w:val="clear" w:color="auto" w:fill="FFFFFF"/>
          <w:lang w:val="uk-UA"/>
        </w:rPr>
        <w:t>I.b</w:t>
      </w:r>
      <w:proofErr w:type="spellEnd"/>
      <w:r w:rsidRPr="009507A7">
        <w:rPr>
          <w:shd w:val="clear" w:color="auto" w:fill="FFFFFF"/>
          <w:lang w:val="uk-UA"/>
        </w:rPr>
        <w:tab/>
        <w:t xml:space="preserve"> </w:t>
      </w:r>
      <w:r w:rsidR="00364808" w:rsidRPr="009507A7">
        <w:rPr>
          <w:shd w:val="clear" w:color="auto" w:fill="FFFFFF"/>
          <w:lang w:val="uk-UA"/>
        </w:rPr>
        <w:t>Застосовані методи дослідження</w:t>
      </w:r>
      <w:bookmarkEnd w:id="3"/>
    </w:p>
    <w:p w:rsidR="00C21AC5" w:rsidRPr="00425B03" w:rsidRDefault="00796B4E" w:rsidP="00C21AC5">
      <w:pPr>
        <w:jc w:val="both"/>
        <w:rPr>
          <w:rFonts w:asciiTheme="majorHAnsi" w:hAnsiTheme="majorHAnsi"/>
          <w:sz w:val="24"/>
          <w:lang w:val="uk-UA"/>
        </w:rPr>
      </w:pPr>
      <w:r w:rsidRPr="00425B03">
        <w:rPr>
          <w:rFonts w:asciiTheme="majorHAnsi" w:hAnsiTheme="majorHAnsi"/>
          <w:sz w:val="24"/>
          <w:lang w:val="uk-UA"/>
        </w:rPr>
        <w:t xml:space="preserve">Для отримання аналітичної інформації використані наступні методі: </w:t>
      </w:r>
    </w:p>
    <w:p w:rsidR="00796B4E" w:rsidRPr="00425B03" w:rsidRDefault="00F06391" w:rsidP="00C21AC5">
      <w:pPr>
        <w:jc w:val="both"/>
        <w:rPr>
          <w:rFonts w:asciiTheme="majorHAnsi" w:hAnsiTheme="majorHAnsi"/>
          <w:sz w:val="24"/>
          <w:lang w:val="uk-UA"/>
        </w:rPr>
      </w:pPr>
      <w:r w:rsidRPr="00425B03">
        <w:rPr>
          <w:rFonts w:asciiTheme="majorHAnsi" w:hAnsiTheme="majorHAnsi"/>
          <w:sz w:val="24"/>
          <w:lang w:val="uk-UA"/>
        </w:rPr>
        <w:t>З</w:t>
      </w:r>
      <w:r w:rsidR="00796B4E" w:rsidRPr="00425B03">
        <w:rPr>
          <w:rFonts w:asciiTheme="majorHAnsi" w:hAnsiTheme="majorHAnsi"/>
          <w:sz w:val="24"/>
          <w:lang w:val="uk-UA"/>
        </w:rPr>
        <w:t>бір інформації на офіційних сайтах Верховної ради, Кабінету Міністрів України, органів центральної виконавчої влади, ВНЗ; інформаційні запити до відповідних структур.</w:t>
      </w:r>
    </w:p>
    <w:p w:rsidR="0060759D" w:rsidRPr="00425B03" w:rsidRDefault="00F06391" w:rsidP="00C21AC5">
      <w:pPr>
        <w:jc w:val="both"/>
        <w:rPr>
          <w:rFonts w:asciiTheme="majorHAnsi" w:hAnsiTheme="majorHAnsi"/>
          <w:sz w:val="24"/>
          <w:lang w:val="uk-UA"/>
        </w:rPr>
      </w:pPr>
      <w:r w:rsidRPr="00425B03">
        <w:rPr>
          <w:rFonts w:asciiTheme="majorHAnsi" w:hAnsiTheme="majorHAnsi"/>
          <w:sz w:val="24"/>
          <w:lang w:val="uk-UA"/>
        </w:rPr>
        <w:t xml:space="preserve">Соціологічні опитування. </w:t>
      </w:r>
      <w:r w:rsidR="00796B4E" w:rsidRPr="00425B03">
        <w:rPr>
          <w:rFonts w:asciiTheme="majorHAnsi" w:hAnsiTheme="majorHAnsi"/>
          <w:sz w:val="24"/>
          <w:lang w:val="uk-UA"/>
        </w:rPr>
        <w:t>Для отримання первинної соціологічної інформації використані наступні методи:</w:t>
      </w:r>
      <w:r w:rsidRPr="00425B03">
        <w:rPr>
          <w:rFonts w:asciiTheme="majorHAnsi" w:hAnsiTheme="majorHAnsi"/>
          <w:sz w:val="24"/>
          <w:lang w:val="uk-UA"/>
        </w:rPr>
        <w:t xml:space="preserve"> </w:t>
      </w:r>
      <w:proofErr w:type="spellStart"/>
      <w:r w:rsidRPr="00425B03">
        <w:rPr>
          <w:rFonts w:asciiTheme="majorHAnsi" w:hAnsiTheme="majorHAnsi"/>
          <w:sz w:val="24"/>
          <w:lang w:val="uk-UA"/>
        </w:rPr>
        <w:t>і</w:t>
      </w:r>
      <w:r w:rsidR="00796B4E" w:rsidRPr="00425B03">
        <w:rPr>
          <w:rFonts w:asciiTheme="majorHAnsi" w:hAnsiTheme="majorHAnsi"/>
          <w:sz w:val="24"/>
          <w:lang w:val="uk-UA"/>
        </w:rPr>
        <w:t>нтернет-опитування</w:t>
      </w:r>
      <w:proofErr w:type="spellEnd"/>
      <w:r w:rsidR="00796B4E" w:rsidRPr="00425B03">
        <w:rPr>
          <w:rFonts w:asciiTheme="majorHAnsi" w:hAnsiTheme="majorHAnsi"/>
          <w:sz w:val="24"/>
          <w:lang w:val="uk-UA"/>
        </w:rPr>
        <w:t xml:space="preserve"> на базі платформи </w:t>
      </w:r>
      <w:proofErr w:type="spellStart"/>
      <w:r w:rsidR="00796B4E" w:rsidRPr="00425B03">
        <w:rPr>
          <w:rFonts w:asciiTheme="majorHAnsi" w:hAnsiTheme="majorHAnsi"/>
          <w:sz w:val="24"/>
          <w:lang w:val="uk-UA"/>
        </w:rPr>
        <w:t>Google</w:t>
      </w:r>
      <w:proofErr w:type="spellEnd"/>
      <w:r w:rsidR="00796B4E" w:rsidRPr="00425B03">
        <w:rPr>
          <w:rFonts w:asciiTheme="majorHAnsi" w:hAnsiTheme="majorHAnsi"/>
          <w:sz w:val="24"/>
          <w:lang w:val="uk-UA"/>
        </w:rPr>
        <w:t xml:space="preserve">  Форм</w:t>
      </w:r>
      <w:r w:rsidRPr="00425B03">
        <w:rPr>
          <w:rFonts w:asciiTheme="majorHAnsi" w:hAnsiTheme="majorHAnsi"/>
          <w:sz w:val="24"/>
          <w:lang w:val="uk-UA"/>
        </w:rPr>
        <w:t>, і</w:t>
      </w:r>
      <w:r w:rsidR="00796B4E" w:rsidRPr="00425B03">
        <w:rPr>
          <w:rFonts w:asciiTheme="majorHAnsi" w:hAnsiTheme="majorHAnsi"/>
          <w:sz w:val="24"/>
          <w:lang w:val="uk-UA"/>
        </w:rPr>
        <w:t xml:space="preserve">нтерв’ю зі студентами; індивідуальне </w:t>
      </w:r>
      <w:r w:rsidR="00C21AC5" w:rsidRPr="00425B03">
        <w:rPr>
          <w:rFonts w:asciiTheme="majorHAnsi" w:hAnsiTheme="majorHAnsi"/>
          <w:sz w:val="24"/>
          <w:lang w:val="uk-UA"/>
        </w:rPr>
        <w:t xml:space="preserve">глибинне інтерв’ю з викладачами. </w:t>
      </w:r>
      <w:r w:rsidR="0060759D" w:rsidRPr="00425B03">
        <w:rPr>
          <w:rFonts w:asciiTheme="majorHAnsi" w:hAnsiTheme="majorHAnsi"/>
          <w:sz w:val="24"/>
          <w:lang w:val="uk-UA"/>
        </w:rPr>
        <w:t xml:space="preserve">Дослідження проводилось за допомогою анкетування. Респонденти самостійно відповідали на запитання анкет. Анкетування проводилась анонімно. </w:t>
      </w:r>
      <w:r w:rsidR="00E44118" w:rsidRPr="00425B03">
        <w:rPr>
          <w:rFonts w:asciiTheme="majorHAnsi" w:hAnsiTheme="majorHAnsi"/>
          <w:sz w:val="24"/>
        </w:rPr>
        <w:t xml:space="preserve"> В </w:t>
      </w:r>
      <w:proofErr w:type="spellStart"/>
      <w:r w:rsidR="00E44118" w:rsidRPr="00425B03">
        <w:rPr>
          <w:rFonts w:asciiTheme="majorHAnsi" w:hAnsiTheme="majorHAnsi"/>
          <w:sz w:val="24"/>
        </w:rPr>
        <w:t>цілому</w:t>
      </w:r>
      <w:proofErr w:type="spellEnd"/>
      <w:r w:rsidR="00E44118" w:rsidRPr="00425B03">
        <w:rPr>
          <w:rFonts w:asciiTheme="majorHAnsi" w:hAnsiTheme="majorHAnsi"/>
          <w:sz w:val="24"/>
        </w:rPr>
        <w:t xml:space="preserve"> </w:t>
      </w:r>
      <w:proofErr w:type="spellStart"/>
      <w:r w:rsidR="00E44118" w:rsidRPr="00425B03">
        <w:rPr>
          <w:rFonts w:asciiTheme="majorHAnsi" w:hAnsiTheme="majorHAnsi"/>
          <w:sz w:val="24"/>
        </w:rPr>
        <w:t>бул</w:t>
      </w:r>
      <w:proofErr w:type="spellEnd"/>
      <w:r w:rsidR="00E71B78" w:rsidRPr="00425B03">
        <w:rPr>
          <w:rFonts w:asciiTheme="majorHAnsi" w:hAnsiTheme="majorHAnsi"/>
          <w:sz w:val="24"/>
          <w:lang w:val="uk-UA"/>
        </w:rPr>
        <w:t>о</w:t>
      </w:r>
      <w:r w:rsidR="00E44118" w:rsidRPr="00425B03">
        <w:rPr>
          <w:rFonts w:asciiTheme="majorHAnsi" w:hAnsiTheme="majorHAnsi"/>
          <w:sz w:val="24"/>
        </w:rPr>
        <w:t xml:space="preserve"> проведено </w:t>
      </w:r>
      <w:proofErr w:type="spellStart"/>
      <w:r w:rsidR="00E44118" w:rsidRPr="00425B03">
        <w:rPr>
          <w:rFonts w:asciiTheme="majorHAnsi" w:hAnsiTheme="majorHAnsi"/>
          <w:sz w:val="24"/>
        </w:rPr>
        <w:t>інтерв’ю</w:t>
      </w:r>
      <w:proofErr w:type="spellEnd"/>
      <w:r w:rsidR="00E44118" w:rsidRPr="00425B03">
        <w:rPr>
          <w:rFonts w:asciiTheme="majorHAnsi" w:hAnsiTheme="majorHAnsi"/>
          <w:sz w:val="24"/>
        </w:rPr>
        <w:t xml:space="preserve"> в 9–</w:t>
      </w:r>
      <w:proofErr w:type="spellStart"/>
      <w:r w:rsidR="00E44118" w:rsidRPr="00425B03">
        <w:rPr>
          <w:rFonts w:asciiTheme="majorHAnsi" w:hAnsiTheme="majorHAnsi"/>
          <w:sz w:val="24"/>
        </w:rPr>
        <w:t>ти</w:t>
      </w:r>
      <w:proofErr w:type="spellEnd"/>
      <w:r w:rsidR="00E44118" w:rsidRPr="00425B03">
        <w:rPr>
          <w:rFonts w:asciiTheme="majorHAnsi" w:hAnsiTheme="majorHAnsi"/>
          <w:sz w:val="24"/>
        </w:rPr>
        <w:t xml:space="preserve"> </w:t>
      </w:r>
      <w:r w:rsidR="003D291E">
        <w:rPr>
          <w:rFonts w:asciiTheme="majorHAnsi" w:hAnsiTheme="majorHAnsi"/>
          <w:sz w:val="24"/>
          <w:lang w:val="uk-UA"/>
        </w:rPr>
        <w:t>областях</w:t>
      </w:r>
      <w:r w:rsidR="00E44118" w:rsidRPr="00425B03">
        <w:rPr>
          <w:rFonts w:asciiTheme="majorHAnsi" w:hAnsiTheme="majorHAnsi"/>
          <w:sz w:val="24"/>
        </w:rPr>
        <w:t xml:space="preserve"> </w:t>
      </w:r>
      <w:proofErr w:type="spellStart"/>
      <w:r w:rsidR="00E44118" w:rsidRPr="00425B03">
        <w:rPr>
          <w:rFonts w:asciiTheme="majorHAnsi" w:hAnsiTheme="majorHAnsi"/>
          <w:sz w:val="24"/>
        </w:rPr>
        <w:t>України</w:t>
      </w:r>
      <w:proofErr w:type="spellEnd"/>
      <w:r w:rsidR="00E44118" w:rsidRPr="00425B03">
        <w:rPr>
          <w:rFonts w:asciiTheme="majorHAnsi" w:hAnsiTheme="majorHAnsi"/>
          <w:sz w:val="24"/>
        </w:rPr>
        <w:t xml:space="preserve"> </w:t>
      </w:r>
      <w:proofErr w:type="spellStart"/>
      <w:r w:rsidR="00E44118" w:rsidRPr="00425B03">
        <w:rPr>
          <w:rFonts w:asciiTheme="majorHAnsi" w:hAnsiTheme="majorHAnsi"/>
          <w:sz w:val="24"/>
        </w:rPr>
        <w:t>серед</w:t>
      </w:r>
      <w:proofErr w:type="spellEnd"/>
      <w:r w:rsidR="00E44118" w:rsidRPr="00425B03">
        <w:rPr>
          <w:rFonts w:asciiTheme="majorHAnsi" w:hAnsiTheme="majorHAnsi"/>
          <w:sz w:val="24"/>
        </w:rPr>
        <w:t xml:space="preserve">  </w:t>
      </w:r>
      <w:proofErr w:type="spellStart"/>
      <w:r w:rsidR="00E44118" w:rsidRPr="00425B03">
        <w:rPr>
          <w:rFonts w:asciiTheme="majorHAnsi" w:hAnsiTheme="majorHAnsi"/>
          <w:sz w:val="24"/>
        </w:rPr>
        <w:t>більш</w:t>
      </w:r>
      <w:proofErr w:type="spellEnd"/>
      <w:r w:rsidR="00E44118" w:rsidRPr="00425B03">
        <w:rPr>
          <w:rFonts w:asciiTheme="majorHAnsi" w:hAnsiTheme="majorHAnsi"/>
          <w:sz w:val="24"/>
        </w:rPr>
        <w:t xml:space="preserve">  </w:t>
      </w:r>
      <w:proofErr w:type="spellStart"/>
      <w:r w:rsidR="00E44118" w:rsidRPr="00425B03">
        <w:rPr>
          <w:rFonts w:asciiTheme="majorHAnsi" w:hAnsiTheme="majorHAnsi"/>
          <w:sz w:val="24"/>
        </w:rPr>
        <w:t>ніж</w:t>
      </w:r>
      <w:proofErr w:type="spellEnd"/>
      <w:r w:rsidR="00E44118" w:rsidRPr="00425B03">
        <w:rPr>
          <w:rFonts w:asciiTheme="majorHAnsi" w:hAnsiTheme="majorHAnsi"/>
          <w:sz w:val="24"/>
        </w:rPr>
        <w:t xml:space="preserve"> 1500 </w:t>
      </w:r>
      <w:proofErr w:type="spellStart"/>
      <w:r w:rsidR="00E44118" w:rsidRPr="00425B03">
        <w:rPr>
          <w:rFonts w:asciiTheme="majorHAnsi" w:hAnsiTheme="majorHAnsi"/>
          <w:sz w:val="24"/>
        </w:rPr>
        <w:t>студенті</w:t>
      </w:r>
      <w:proofErr w:type="gramStart"/>
      <w:r w:rsidR="00E44118" w:rsidRPr="00425B03">
        <w:rPr>
          <w:rFonts w:asciiTheme="majorHAnsi" w:hAnsiTheme="majorHAnsi"/>
          <w:sz w:val="24"/>
        </w:rPr>
        <w:t>в</w:t>
      </w:r>
      <w:proofErr w:type="spellEnd"/>
      <w:proofErr w:type="gramEnd"/>
      <w:r w:rsidR="00E44118" w:rsidRPr="00425B03">
        <w:rPr>
          <w:rFonts w:asciiTheme="majorHAnsi" w:hAnsiTheme="majorHAnsi"/>
          <w:sz w:val="24"/>
        </w:rPr>
        <w:t>.</w:t>
      </w:r>
    </w:p>
    <w:p w:rsidR="00C21AC5" w:rsidRPr="00425B03" w:rsidRDefault="0060759D" w:rsidP="00C21AC5">
      <w:pPr>
        <w:jc w:val="both"/>
        <w:rPr>
          <w:rFonts w:asciiTheme="majorHAnsi" w:hAnsiTheme="majorHAnsi"/>
          <w:sz w:val="24"/>
          <w:lang w:val="uk-UA"/>
        </w:rPr>
      </w:pPr>
      <w:r w:rsidRPr="00425B03">
        <w:rPr>
          <w:rFonts w:asciiTheme="majorHAnsi" w:hAnsiTheme="majorHAnsi"/>
          <w:sz w:val="24"/>
          <w:lang w:val="uk-UA"/>
        </w:rPr>
        <w:t>Крім анкетування з метою дослідження проводились засідання у  фокус-групах. Експертні інтерв’ю із працівниками навчальних закладів (дошкільних, шкільних, професійно-технічних та вищих), а також співробітниками Департаменту освіти і науки обласн</w:t>
      </w:r>
      <w:r w:rsidR="00C21AC5" w:rsidRPr="00425B03">
        <w:rPr>
          <w:rFonts w:asciiTheme="majorHAnsi" w:hAnsiTheme="majorHAnsi"/>
          <w:sz w:val="24"/>
          <w:lang w:val="uk-UA"/>
        </w:rPr>
        <w:t>их</w:t>
      </w:r>
      <w:r w:rsidRPr="00425B03">
        <w:rPr>
          <w:rFonts w:asciiTheme="majorHAnsi" w:hAnsiTheme="majorHAnsi"/>
          <w:sz w:val="24"/>
          <w:lang w:val="uk-UA"/>
        </w:rPr>
        <w:t xml:space="preserve"> державн</w:t>
      </w:r>
      <w:r w:rsidR="00C21AC5" w:rsidRPr="00425B03">
        <w:rPr>
          <w:rFonts w:asciiTheme="majorHAnsi" w:hAnsiTheme="majorHAnsi"/>
          <w:sz w:val="24"/>
          <w:lang w:val="uk-UA"/>
        </w:rPr>
        <w:t>их</w:t>
      </w:r>
      <w:r w:rsidRPr="00425B03">
        <w:rPr>
          <w:rFonts w:asciiTheme="majorHAnsi" w:hAnsiTheme="majorHAnsi"/>
          <w:sz w:val="24"/>
          <w:lang w:val="uk-UA"/>
        </w:rPr>
        <w:t xml:space="preserve"> адміністрації, районних відділів освіти. </w:t>
      </w:r>
    </w:p>
    <w:p w:rsidR="0060759D" w:rsidRPr="00425B03" w:rsidRDefault="0060759D" w:rsidP="00C21AC5">
      <w:pPr>
        <w:jc w:val="both"/>
        <w:rPr>
          <w:rFonts w:asciiTheme="majorHAnsi" w:hAnsiTheme="majorHAnsi"/>
          <w:sz w:val="24"/>
          <w:lang w:val="uk-UA"/>
        </w:rPr>
      </w:pPr>
      <w:r w:rsidRPr="00425B03">
        <w:rPr>
          <w:rFonts w:asciiTheme="majorHAnsi" w:hAnsiTheme="majorHAnsi"/>
          <w:sz w:val="24"/>
          <w:lang w:val="uk-UA"/>
        </w:rPr>
        <w:t>Аналіз документів, зокрема:</w:t>
      </w:r>
      <w:r w:rsidR="00C21AC5" w:rsidRPr="00425B03">
        <w:rPr>
          <w:rFonts w:asciiTheme="majorHAnsi" w:hAnsiTheme="majorHAnsi"/>
          <w:sz w:val="24"/>
          <w:lang w:val="uk-UA"/>
        </w:rPr>
        <w:t xml:space="preserve"> </w:t>
      </w:r>
      <w:r w:rsidRPr="00425B03">
        <w:rPr>
          <w:rFonts w:asciiTheme="majorHAnsi" w:hAnsiTheme="majorHAnsi"/>
          <w:sz w:val="24"/>
          <w:lang w:val="uk-UA"/>
        </w:rPr>
        <w:t>відповіді на інформаційні запити до державних і місцевих органів влади; матеріали ЗМІ щодо забезпечення потреб внутрішньо переміщених осіб;</w:t>
      </w:r>
      <w:r w:rsidR="00C21AC5" w:rsidRPr="00425B03">
        <w:rPr>
          <w:rFonts w:asciiTheme="majorHAnsi" w:hAnsiTheme="majorHAnsi"/>
          <w:sz w:val="24"/>
          <w:lang w:val="uk-UA"/>
        </w:rPr>
        <w:t xml:space="preserve"> </w:t>
      </w:r>
      <w:r w:rsidRPr="00425B03">
        <w:rPr>
          <w:rFonts w:asciiTheme="majorHAnsi" w:hAnsiTheme="majorHAnsi"/>
          <w:sz w:val="24"/>
          <w:lang w:val="uk-UA"/>
        </w:rPr>
        <w:t>звернення та скарги внутрішньо переміщених осіб щодо неналежного забезпечення потреб вимушених переселенців, які надійшли до Центру контролю за забезпеченням права на освіту внутрішньо переміщених осіб.</w:t>
      </w:r>
    </w:p>
    <w:p w:rsidR="005C3852" w:rsidRPr="009507A7" w:rsidRDefault="005C3852">
      <w:pPr>
        <w:rPr>
          <w:lang w:val="uk-UA"/>
        </w:rPr>
      </w:pPr>
      <w:r w:rsidRPr="009507A7">
        <w:rPr>
          <w:lang w:val="uk-UA"/>
        </w:rPr>
        <w:br w:type="page"/>
      </w:r>
    </w:p>
    <w:p w:rsidR="00796B4E" w:rsidRPr="009507A7" w:rsidRDefault="00796B4E" w:rsidP="00796B4E">
      <w:pPr>
        <w:rPr>
          <w:lang w:val="uk-UA"/>
        </w:rPr>
      </w:pPr>
    </w:p>
    <w:p w:rsidR="000D13D6" w:rsidRPr="009507A7" w:rsidRDefault="000D13D6" w:rsidP="000D13D6">
      <w:pPr>
        <w:pStyle w:val="1"/>
        <w:numPr>
          <w:ilvl w:val="0"/>
          <w:numId w:val="2"/>
        </w:numPr>
        <w:ind w:left="709" w:hanging="709"/>
        <w:rPr>
          <w:shd w:val="clear" w:color="auto" w:fill="FFFFFF"/>
          <w:lang w:val="uk-UA"/>
        </w:rPr>
      </w:pPr>
      <w:bookmarkStart w:id="4" w:name="_Toc417329179"/>
      <w:r w:rsidRPr="009507A7">
        <w:rPr>
          <w:shd w:val="clear" w:color="auto" w:fill="FFFFFF"/>
          <w:lang w:val="uk-UA"/>
        </w:rPr>
        <w:t xml:space="preserve">Висновки та рекомендації по дошкільній </w:t>
      </w:r>
      <w:r w:rsidR="00FD1E43" w:rsidRPr="009507A7">
        <w:rPr>
          <w:shd w:val="clear" w:color="auto" w:fill="FFFFFF"/>
          <w:lang w:val="uk-UA"/>
        </w:rPr>
        <w:t xml:space="preserve">і шкільній </w:t>
      </w:r>
      <w:r w:rsidRPr="009507A7">
        <w:rPr>
          <w:shd w:val="clear" w:color="auto" w:fill="FFFFFF"/>
          <w:lang w:val="uk-UA"/>
        </w:rPr>
        <w:t>освіті</w:t>
      </w:r>
      <w:bookmarkEnd w:id="4"/>
    </w:p>
    <w:p w:rsidR="00111F38" w:rsidRPr="00425B03" w:rsidRDefault="00111F38" w:rsidP="00111F38">
      <w:pPr>
        <w:pStyle w:val="3"/>
        <w:rPr>
          <w:sz w:val="24"/>
          <w:lang w:val="uk-UA"/>
        </w:rPr>
      </w:pPr>
      <w:bookmarkStart w:id="5" w:name="_Toc417329180"/>
      <w:proofErr w:type="spellStart"/>
      <w:r w:rsidRPr="00425B03">
        <w:rPr>
          <w:sz w:val="24"/>
          <w:lang w:val="uk-UA"/>
        </w:rPr>
        <w:t>II.a</w:t>
      </w:r>
      <w:proofErr w:type="spellEnd"/>
      <w:r w:rsidRPr="00425B03">
        <w:rPr>
          <w:sz w:val="24"/>
          <w:lang w:val="uk-UA"/>
        </w:rPr>
        <w:tab/>
        <w:t>Висновки</w:t>
      </w:r>
      <w:bookmarkEnd w:id="5"/>
    </w:p>
    <w:p w:rsidR="00111F38" w:rsidRPr="00425B03" w:rsidRDefault="00111F38" w:rsidP="00111F38">
      <w:pPr>
        <w:pStyle w:val="a3"/>
        <w:numPr>
          <w:ilvl w:val="0"/>
          <w:numId w:val="5"/>
        </w:numPr>
        <w:spacing w:after="80"/>
        <w:ind w:left="425" w:hanging="425"/>
        <w:contextualSpacing w:val="0"/>
        <w:jc w:val="both"/>
        <w:rPr>
          <w:rFonts w:asciiTheme="majorHAnsi" w:hAnsiTheme="majorHAnsi"/>
          <w:sz w:val="24"/>
          <w:lang w:val="uk-UA"/>
        </w:rPr>
      </w:pPr>
      <w:r w:rsidRPr="00425B03">
        <w:rPr>
          <w:rFonts w:asciiTheme="majorHAnsi" w:hAnsiTheme="majorHAnsi"/>
          <w:sz w:val="24"/>
          <w:lang w:val="uk-UA"/>
        </w:rPr>
        <w:t xml:space="preserve">Організація навчально-виховного процесу дошкільної та шкільної освіти є однією з найбільш важливих, і одночасно складних публічних послуг, що надаються державою для своїх громадян. Необхідність забезпечення всього комплексу організаційно-правових, навчально-методичних та соціально-орієнтованих заходів вимагає від Міністерства освіти і науки України, регіональних органів управління освіти, керівників закладів освіти, педагогічних колективів злагодженої та системної роботи. Специфіка діяльності навчальних закладів вимагає забезпечення послідовності і безперервності навчально-виховного процесу на основі затверджених стандартів, незалежно від політичної чи економічної ситуації в країні. Соціальні потрясіння, як наприклад раптова і термінова необхідність пріоритетного вирішення завдання забезпечення публічними послугами більш ніж 120 тис. </w:t>
      </w:r>
      <w:r w:rsidR="004E0CBD" w:rsidRPr="00425B03">
        <w:rPr>
          <w:rFonts w:asciiTheme="majorHAnsi" w:hAnsiTheme="majorHAnsi"/>
          <w:sz w:val="24"/>
          <w:lang w:val="uk-UA"/>
        </w:rPr>
        <w:t>до</w:t>
      </w:r>
      <w:r w:rsidRPr="00425B03">
        <w:rPr>
          <w:rFonts w:asciiTheme="majorHAnsi" w:hAnsiTheme="majorHAnsi"/>
          <w:sz w:val="24"/>
          <w:lang w:val="uk-UA"/>
        </w:rPr>
        <w:t>даткових споживачів (дітей із сімей ВПО), є складним багатоаспектним викликом для всіх будь сфери державного управління, в тому числі для системи освіти України.</w:t>
      </w:r>
    </w:p>
    <w:p w:rsidR="00111F38" w:rsidRPr="00425B03" w:rsidRDefault="00111F38" w:rsidP="00111F38">
      <w:pPr>
        <w:pStyle w:val="a3"/>
        <w:numPr>
          <w:ilvl w:val="0"/>
          <w:numId w:val="5"/>
        </w:numPr>
        <w:spacing w:after="80"/>
        <w:ind w:left="425" w:hanging="425"/>
        <w:contextualSpacing w:val="0"/>
        <w:jc w:val="both"/>
        <w:rPr>
          <w:rFonts w:asciiTheme="majorHAnsi" w:hAnsiTheme="majorHAnsi"/>
          <w:sz w:val="24"/>
          <w:lang w:val="uk-UA"/>
        </w:rPr>
      </w:pPr>
      <w:r w:rsidRPr="00425B03">
        <w:rPr>
          <w:rFonts w:asciiTheme="majorHAnsi" w:hAnsiTheme="majorHAnsi"/>
          <w:sz w:val="24"/>
          <w:lang w:val="uk-UA"/>
        </w:rPr>
        <w:t>Як показав аналіз вжитих системою освіти України заходів, починаючи з весни 2014р. був ефективно відпрацьований весь необхідний і можливий нормативно-управлінський алгоритм реагування на екстрено виниклу ситуацію із забезпеченням прав на навчання дітей ВПО. Зокрема МОН України був початий (триває досі) процес розробки нормативно-правового та методичного забезпечення діяльності закладів дошкільної та шкільної освіти. У загальній складності МОН України підготував і розіслав більше ніж 40 наказів і листів організаційного та методичного характеру в регіональні органи управління освітою. На їх основі, профільними управліннями органів регіональної / місцевої влади (ОДА, РДА, міські, селищні та сільські ради) приймали місцеві нормативні акти і разом з керівниками закладів освіти вирішувалися подальші питання забезпечення на практичному рівні.</w:t>
      </w:r>
    </w:p>
    <w:p w:rsidR="00111F38" w:rsidRPr="00425B03" w:rsidRDefault="00111F38" w:rsidP="00111F38">
      <w:pPr>
        <w:pStyle w:val="a3"/>
        <w:numPr>
          <w:ilvl w:val="0"/>
          <w:numId w:val="5"/>
        </w:numPr>
        <w:spacing w:after="80"/>
        <w:ind w:left="425" w:hanging="425"/>
        <w:contextualSpacing w:val="0"/>
        <w:jc w:val="both"/>
        <w:rPr>
          <w:rFonts w:asciiTheme="majorHAnsi" w:hAnsiTheme="majorHAnsi"/>
          <w:sz w:val="24"/>
          <w:lang w:val="uk-UA"/>
        </w:rPr>
      </w:pPr>
      <w:r w:rsidRPr="00425B03">
        <w:rPr>
          <w:rFonts w:asciiTheme="majorHAnsi" w:hAnsiTheme="majorHAnsi"/>
          <w:sz w:val="24"/>
          <w:lang w:val="uk-UA"/>
        </w:rPr>
        <w:t>Завдяки своєчасно розробленим методичним рекомендаціям МОН були знайдені і реалізовані на рівні міст та областей правові механізми відновлення втрачених документів учнів із зони АТО. Оперативне забезпечення місцевих органів управління освітою дозволило попередити випадки порушення прав доступу до освіти ВПО.</w:t>
      </w:r>
    </w:p>
    <w:p w:rsidR="00111F38" w:rsidRPr="00425B03" w:rsidRDefault="00111F38" w:rsidP="00111F38">
      <w:pPr>
        <w:pStyle w:val="a3"/>
        <w:numPr>
          <w:ilvl w:val="0"/>
          <w:numId w:val="5"/>
        </w:numPr>
        <w:spacing w:after="80"/>
        <w:ind w:left="425" w:hanging="425"/>
        <w:contextualSpacing w:val="0"/>
        <w:jc w:val="both"/>
        <w:rPr>
          <w:rFonts w:asciiTheme="majorHAnsi" w:hAnsiTheme="majorHAnsi"/>
          <w:sz w:val="24"/>
          <w:lang w:val="uk-UA"/>
        </w:rPr>
      </w:pPr>
      <w:r w:rsidRPr="00425B03">
        <w:rPr>
          <w:rFonts w:asciiTheme="majorHAnsi" w:hAnsiTheme="majorHAnsi"/>
          <w:sz w:val="24"/>
          <w:lang w:val="uk-UA"/>
        </w:rPr>
        <w:t xml:space="preserve">Індикатором досягнутих заходів системи освіти України є результати громадських моніторингів в регіонах України. Усі вісім досліджень показали, що незважаючи на поточні проблеми недостатнього бюджетного фінансування закладів дошкільної та шкільної освіти, питання включення дітей з сімей ВПО дошкільного та шкільного віку в навчально-виховний процес вирішувалися оперативно, без будь-яких бюрократичних чи інших перешкод. Система освіти України проявила себе в ситуації кризового прийняття рішень, професійної та </w:t>
      </w:r>
      <w:r w:rsidRPr="00425B03">
        <w:rPr>
          <w:rFonts w:asciiTheme="majorHAnsi" w:hAnsiTheme="majorHAnsi"/>
          <w:sz w:val="24"/>
          <w:lang w:val="uk-UA"/>
        </w:rPr>
        <w:lastRenderedPageBreak/>
        <w:t>дієвою. Ні в одному з досліджень не виявлено суттєвих проблем, пов'язаних з дискримінацією або порушенням прав дітей ВПО у навчально-виховній сфері.</w:t>
      </w:r>
    </w:p>
    <w:p w:rsidR="00111F38" w:rsidRPr="00425B03" w:rsidRDefault="00111F38" w:rsidP="00111F38">
      <w:pPr>
        <w:pStyle w:val="a3"/>
        <w:numPr>
          <w:ilvl w:val="0"/>
          <w:numId w:val="5"/>
        </w:numPr>
        <w:spacing w:after="80"/>
        <w:ind w:left="425" w:hanging="425"/>
        <w:contextualSpacing w:val="0"/>
        <w:jc w:val="both"/>
        <w:rPr>
          <w:rFonts w:asciiTheme="majorHAnsi" w:hAnsiTheme="majorHAnsi"/>
          <w:sz w:val="24"/>
          <w:lang w:val="uk-UA"/>
        </w:rPr>
      </w:pPr>
      <w:r w:rsidRPr="00425B03">
        <w:rPr>
          <w:rFonts w:asciiTheme="majorHAnsi" w:hAnsiTheme="majorHAnsi"/>
          <w:sz w:val="24"/>
          <w:lang w:val="uk-UA"/>
        </w:rPr>
        <w:t>Унікальні результати масштабного вирішення проблем дітей ВПО в реалізації прав на отримання освіти були досягнуті в тому числі, завдяки притаманній українським педагогам таких якостей, як виконавська дисципліна та високий рівень соціальної відповідальності. Феноменальним проявом професійного потенціалу та громадянської свідомості співробітників системи освіти в Україні став прецедент в реалізації принципу «позитивної дискримінації», по відношенню до дітей ВПО дошкільного віку (переважного зарахування дітей ВПО в дитячі садки).</w:t>
      </w:r>
    </w:p>
    <w:p w:rsidR="00111F38" w:rsidRPr="00425B03" w:rsidRDefault="00111F38" w:rsidP="00111F38">
      <w:pPr>
        <w:pStyle w:val="a3"/>
        <w:numPr>
          <w:ilvl w:val="0"/>
          <w:numId w:val="5"/>
        </w:numPr>
        <w:spacing w:after="80"/>
        <w:ind w:left="425" w:hanging="425"/>
        <w:contextualSpacing w:val="0"/>
        <w:jc w:val="both"/>
        <w:rPr>
          <w:rFonts w:asciiTheme="majorHAnsi" w:hAnsiTheme="majorHAnsi"/>
          <w:sz w:val="24"/>
          <w:lang w:val="uk-UA"/>
        </w:rPr>
      </w:pPr>
      <w:r w:rsidRPr="00425B03">
        <w:rPr>
          <w:rFonts w:asciiTheme="majorHAnsi" w:hAnsiTheme="majorHAnsi"/>
          <w:sz w:val="24"/>
          <w:lang w:val="uk-UA"/>
        </w:rPr>
        <w:t>Відмінності політичних поглядів між громадянами Сходу і Заходу України не відбилася у відносинах між дітьми та батьківською громадськістю, що представляють місцеві громади і переселенців. Узагальнені результати проведених інтерв'ю з представниками шкільної громадськості з боку ВПО (діти і батьки) не виявило випадків негативного ставлення до них на основі яких або політичних розбіжностей. Навпаки, в результатах моніторингу неодноразово вказується на приклади толерантного ставлення і готовність допомогти з боку вчителів та батьків.</w:t>
      </w:r>
    </w:p>
    <w:p w:rsidR="00111F38" w:rsidRPr="00425B03" w:rsidRDefault="00111F38" w:rsidP="00111F38">
      <w:pPr>
        <w:pStyle w:val="a3"/>
        <w:numPr>
          <w:ilvl w:val="0"/>
          <w:numId w:val="5"/>
        </w:numPr>
        <w:spacing w:after="80"/>
        <w:ind w:left="425" w:hanging="425"/>
        <w:contextualSpacing w:val="0"/>
        <w:jc w:val="both"/>
        <w:rPr>
          <w:rFonts w:asciiTheme="majorHAnsi" w:hAnsiTheme="majorHAnsi"/>
          <w:sz w:val="24"/>
          <w:lang w:val="uk-UA"/>
        </w:rPr>
      </w:pPr>
      <w:r w:rsidRPr="00425B03">
        <w:rPr>
          <w:rFonts w:asciiTheme="majorHAnsi" w:hAnsiTheme="majorHAnsi"/>
          <w:sz w:val="24"/>
          <w:lang w:val="uk-UA"/>
        </w:rPr>
        <w:t>Підтримку яку отримали сім'ї ВПО у вирішенні питань освіти, в першу чергу здійснювалася за рахунок локальних ресурсів (вчителів, батьківських комітетів та шкільних адміністрацій). У деяких випадках, опитувані згадували допомогу з боку волонтерських організацій. В цілому допомога була адресна, але водночас мала фрагментарний характер.</w:t>
      </w:r>
    </w:p>
    <w:p w:rsidR="00111F38" w:rsidRPr="00425B03" w:rsidRDefault="00111F38" w:rsidP="00111F38">
      <w:pPr>
        <w:pStyle w:val="a3"/>
        <w:numPr>
          <w:ilvl w:val="0"/>
          <w:numId w:val="5"/>
        </w:numPr>
        <w:spacing w:after="80"/>
        <w:ind w:left="425" w:hanging="425"/>
        <w:contextualSpacing w:val="0"/>
        <w:jc w:val="both"/>
        <w:rPr>
          <w:rFonts w:asciiTheme="majorHAnsi" w:hAnsiTheme="majorHAnsi"/>
          <w:sz w:val="24"/>
          <w:lang w:val="uk-UA"/>
        </w:rPr>
      </w:pPr>
      <w:r w:rsidRPr="00425B03">
        <w:rPr>
          <w:rFonts w:asciiTheme="majorHAnsi" w:hAnsiTheme="majorHAnsi"/>
          <w:sz w:val="24"/>
          <w:lang w:val="uk-UA"/>
        </w:rPr>
        <w:t>Важливе значення для ефективного вирішення проблем доступу до освіти, має вивчення подальших планів ВПО. В окремих дослідженнях, близько 40% опитаних, відповіли що не замислювалися про майбутнє, але більшість з них не планує виїжджати з України.</w:t>
      </w:r>
    </w:p>
    <w:p w:rsidR="00111F38" w:rsidRPr="00425B03" w:rsidRDefault="00111F38" w:rsidP="00111F38">
      <w:pPr>
        <w:pStyle w:val="a3"/>
        <w:numPr>
          <w:ilvl w:val="0"/>
          <w:numId w:val="5"/>
        </w:numPr>
        <w:spacing w:after="80"/>
        <w:ind w:left="425" w:hanging="425"/>
        <w:contextualSpacing w:val="0"/>
        <w:jc w:val="both"/>
        <w:rPr>
          <w:rFonts w:asciiTheme="majorHAnsi" w:hAnsiTheme="majorHAnsi"/>
          <w:sz w:val="24"/>
          <w:lang w:val="uk-UA"/>
        </w:rPr>
      </w:pPr>
      <w:r w:rsidRPr="00425B03">
        <w:rPr>
          <w:rFonts w:asciiTheme="majorHAnsi" w:hAnsiTheme="majorHAnsi"/>
          <w:sz w:val="24"/>
          <w:lang w:val="uk-UA"/>
        </w:rPr>
        <w:t>Найбільше навантаження через наплив дітей ВПО відчувають навчальні установи великих міст (Харкова, Запоріжжя, Дніпропетровська, Києва). Якщо установи освіти не будуть забезпечені додатковим бюджетним ресурсом, існує ризики виникнення соціального невдоволення серед місцевих жителів.</w:t>
      </w:r>
    </w:p>
    <w:p w:rsidR="00111F38" w:rsidRPr="00425B03" w:rsidRDefault="00111F38" w:rsidP="00111F38">
      <w:pPr>
        <w:pStyle w:val="a3"/>
        <w:numPr>
          <w:ilvl w:val="0"/>
          <w:numId w:val="5"/>
        </w:numPr>
        <w:spacing w:after="80"/>
        <w:ind w:left="425" w:hanging="425"/>
        <w:contextualSpacing w:val="0"/>
        <w:jc w:val="both"/>
        <w:rPr>
          <w:rFonts w:asciiTheme="majorHAnsi" w:hAnsiTheme="majorHAnsi"/>
          <w:sz w:val="24"/>
          <w:lang w:val="uk-UA"/>
        </w:rPr>
      </w:pPr>
      <w:r w:rsidRPr="00425B03">
        <w:rPr>
          <w:rFonts w:asciiTheme="majorHAnsi" w:hAnsiTheme="majorHAnsi"/>
          <w:sz w:val="24"/>
          <w:lang w:val="uk-UA"/>
        </w:rPr>
        <w:t>Результати моніторингу (в першу чергу в Центральній і Західній Україні) не виявили проблеми з-за різних мовних уподобань (українську або російську мови). За словами опитаних, існує свобода спілкування, яка не є причиною яких або конфліктних ситуацій. Цей фактор пояснюється, що діти ВПО (включаючи дітей з Криму) адаптовані до української мови, і досить швидко переходять на його використання у процесі навчання. Аналогічно, відзначається гнучкий і толерантний підхід з боку вчителів, які намагаються створити дружню атмосферу в класах.</w:t>
      </w:r>
    </w:p>
    <w:p w:rsidR="00425B03" w:rsidRPr="00425B03" w:rsidRDefault="00425B03" w:rsidP="00425B03">
      <w:pPr>
        <w:pStyle w:val="a3"/>
        <w:numPr>
          <w:ilvl w:val="0"/>
          <w:numId w:val="5"/>
        </w:numPr>
        <w:spacing w:after="80"/>
        <w:ind w:left="425" w:hanging="425"/>
        <w:contextualSpacing w:val="0"/>
        <w:jc w:val="both"/>
        <w:rPr>
          <w:rFonts w:asciiTheme="majorHAnsi" w:hAnsiTheme="majorHAnsi"/>
          <w:sz w:val="24"/>
          <w:lang w:val="uk-UA"/>
        </w:rPr>
      </w:pPr>
      <w:r w:rsidRPr="00425B03">
        <w:rPr>
          <w:rFonts w:asciiTheme="majorHAnsi" w:hAnsiTheme="majorHAnsi"/>
          <w:sz w:val="24"/>
          <w:lang w:val="uk-UA"/>
        </w:rPr>
        <w:t xml:space="preserve">Проблемою для дитячих садків та шкіл залишається постійне переміщення переселенців, які повертаються додому у разі стабілізації воєнної ситуації і приїжджають знову, часто не повідомляючи про це органи освіти і навчальні </w:t>
      </w:r>
      <w:r w:rsidRPr="00425B03">
        <w:rPr>
          <w:rFonts w:asciiTheme="majorHAnsi" w:hAnsiTheme="majorHAnsi"/>
          <w:sz w:val="24"/>
          <w:lang w:val="uk-UA"/>
        </w:rPr>
        <w:lastRenderedPageBreak/>
        <w:t xml:space="preserve">заклади, де оформлені їхні </w:t>
      </w:r>
      <w:proofErr w:type="spellStart"/>
      <w:r w:rsidRPr="00425B03">
        <w:rPr>
          <w:rFonts w:asciiTheme="majorHAnsi" w:hAnsiTheme="majorHAnsi"/>
          <w:sz w:val="24"/>
          <w:lang w:val="uk-UA"/>
        </w:rPr>
        <w:t>діти.Це</w:t>
      </w:r>
      <w:proofErr w:type="spellEnd"/>
      <w:r w:rsidRPr="00425B03">
        <w:rPr>
          <w:rFonts w:asciiTheme="majorHAnsi" w:hAnsiTheme="majorHAnsi"/>
          <w:sz w:val="24"/>
          <w:lang w:val="uk-UA"/>
        </w:rPr>
        <w:t xml:space="preserve"> досить серйозно ускладнює планування та надання належної допомоги внутрішньо переміщеним особам.</w:t>
      </w:r>
    </w:p>
    <w:p w:rsidR="00425B03" w:rsidRPr="00425B03" w:rsidRDefault="00425B03" w:rsidP="00425B03">
      <w:pPr>
        <w:pStyle w:val="a3"/>
        <w:numPr>
          <w:ilvl w:val="0"/>
          <w:numId w:val="5"/>
        </w:numPr>
        <w:spacing w:after="80"/>
        <w:ind w:left="425" w:hanging="425"/>
        <w:contextualSpacing w:val="0"/>
        <w:jc w:val="both"/>
        <w:rPr>
          <w:rFonts w:asciiTheme="majorHAnsi" w:hAnsiTheme="majorHAnsi"/>
          <w:sz w:val="24"/>
          <w:lang w:val="uk-UA"/>
        </w:rPr>
      </w:pPr>
      <w:r w:rsidRPr="00425B03">
        <w:rPr>
          <w:rFonts w:asciiTheme="majorHAnsi" w:hAnsiTheme="majorHAnsi"/>
          <w:sz w:val="24"/>
          <w:lang w:val="uk-UA"/>
        </w:rPr>
        <w:t>Державного фінансування для утримання у навчальних закладах вимушено переміщених осіб не виділяється. Додатковим навантаженням на місцевий бюджет є організація безкоштовного харчування та підвозу дітей до навчальних закладів у районах. Нормальне функціонування освітніх закладів із збільшеним навантаженням в умовах обмежених бюджетів може тривати недовго та потребує обов’язкового збільшення обсягів фінансування.</w:t>
      </w:r>
    </w:p>
    <w:p w:rsidR="00425B03" w:rsidRDefault="00425B03" w:rsidP="00425B03">
      <w:pPr>
        <w:pStyle w:val="a3"/>
        <w:spacing w:after="80"/>
        <w:ind w:left="425"/>
        <w:contextualSpacing w:val="0"/>
        <w:jc w:val="both"/>
        <w:rPr>
          <w:rFonts w:asciiTheme="majorHAnsi" w:hAnsiTheme="majorHAnsi"/>
          <w:lang w:val="uk-UA"/>
        </w:rPr>
      </w:pPr>
    </w:p>
    <w:p w:rsidR="0060759D" w:rsidRPr="00425B03" w:rsidRDefault="00F74E72" w:rsidP="00425B03">
      <w:pPr>
        <w:pStyle w:val="3"/>
        <w:spacing w:after="120"/>
        <w:rPr>
          <w:sz w:val="24"/>
          <w:lang w:val="uk-UA"/>
        </w:rPr>
      </w:pPr>
      <w:bookmarkStart w:id="6" w:name="_Toc417329181"/>
      <w:r w:rsidRPr="00425B03">
        <w:rPr>
          <w:sz w:val="24"/>
          <w:lang w:val="en-US"/>
        </w:rPr>
        <w:t>II</w:t>
      </w:r>
      <w:r w:rsidRPr="00425B03">
        <w:rPr>
          <w:sz w:val="24"/>
          <w:lang w:val="uk-UA"/>
        </w:rPr>
        <w:t>.</w:t>
      </w:r>
      <w:r w:rsidRPr="00425B03">
        <w:rPr>
          <w:sz w:val="24"/>
          <w:lang w:val="en-US"/>
        </w:rPr>
        <w:t>b</w:t>
      </w:r>
      <w:r w:rsidRPr="00425B03">
        <w:rPr>
          <w:sz w:val="24"/>
          <w:lang w:val="uk-UA"/>
        </w:rPr>
        <w:tab/>
        <w:t>Рекомендації</w:t>
      </w:r>
      <w:bookmarkEnd w:id="6"/>
      <w:r w:rsidRPr="00425B03">
        <w:rPr>
          <w:sz w:val="24"/>
          <w:lang w:val="uk-UA"/>
        </w:rPr>
        <w:t xml:space="preserve"> </w:t>
      </w:r>
    </w:p>
    <w:p w:rsidR="00945401" w:rsidRPr="00425B03" w:rsidRDefault="00945401" w:rsidP="00945401">
      <w:pPr>
        <w:pStyle w:val="a3"/>
        <w:numPr>
          <w:ilvl w:val="0"/>
          <w:numId w:val="7"/>
        </w:numPr>
        <w:spacing w:after="100"/>
        <w:ind w:left="426" w:hanging="426"/>
        <w:contextualSpacing w:val="0"/>
        <w:jc w:val="both"/>
        <w:rPr>
          <w:rFonts w:asciiTheme="majorHAnsi" w:hAnsiTheme="majorHAnsi"/>
          <w:sz w:val="24"/>
          <w:lang w:val="uk-UA"/>
        </w:rPr>
      </w:pPr>
      <w:r w:rsidRPr="00425B03">
        <w:rPr>
          <w:rFonts w:asciiTheme="majorHAnsi" w:hAnsiTheme="majorHAnsi"/>
          <w:b/>
          <w:sz w:val="24"/>
          <w:lang w:val="uk-UA"/>
        </w:rPr>
        <w:t>Профільним службам МОН України описати результати унікального та успішного реагування системи дошкільної і шкільної освіти на ситуацію навколо забезпечення права на освіту для більш ніж 120 тисяч дітей з сімей ВПО, як окремий кейс для підготовки серії публіцистичних продуктів в друкованих та електронних ЗМІ на національному та регіональному рівнях .</w:t>
      </w:r>
      <w:r w:rsidRPr="00425B03">
        <w:rPr>
          <w:rFonts w:asciiTheme="majorHAnsi" w:hAnsiTheme="majorHAnsi"/>
          <w:sz w:val="24"/>
          <w:lang w:val="uk-UA"/>
        </w:rPr>
        <w:t xml:space="preserve"> Через даний приклад, реалізований системою освіти України, акцентувати увагу громадськості на попередження сегрегації, формування у шкільних спільнотах солідарності та причетності громадян різних регіонів України до проблем дітей, незалежно від регіону проживання.</w:t>
      </w:r>
    </w:p>
    <w:p w:rsidR="00945401" w:rsidRPr="00425B03" w:rsidRDefault="00945401" w:rsidP="00945401">
      <w:pPr>
        <w:pStyle w:val="a3"/>
        <w:numPr>
          <w:ilvl w:val="0"/>
          <w:numId w:val="7"/>
        </w:numPr>
        <w:spacing w:after="100"/>
        <w:ind w:left="426" w:hanging="426"/>
        <w:contextualSpacing w:val="0"/>
        <w:jc w:val="both"/>
        <w:rPr>
          <w:rFonts w:asciiTheme="majorHAnsi" w:hAnsiTheme="majorHAnsi"/>
          <w:sz w:val="24"/>
          <w:lang w:val="uk-UA"/>
        </w:rPr>
      </w:pPr>
      <w:r w:rsidRPr="00425B03">
        <w:rPr>
          <w:rFonts w:asciiTheme="majorHAnsi" w:hAnsiTheme="majorHAnsi"/>
          <w:sz w:val="24"/>
          <w:lang w:val="uk-UA"/>
        </w:rPr>
        <w:t>МОН України відзначити відзнаками найбільш активні педагогічні колективи та їх керівників, які в екстремальній умовах з необхідністю вирішення гострих проблем ВПО, демонструють високі професійні якості та громадянську самосвідомість.</w:t>
      </w:r>
    </w:p>
    <w:p w:rsidR="00945401" w:rsidRPr="00425B03" w:rsidRDefault="00945401" w:rsidP="00945401">
      <w:pPr>
        <w:pStyle w:val="a3"/>
        <w:numPr>
          <w:ilvl w:val="0"/>
          <w:numId w:val="7"/>
        </w:numPr>
        <w:spacing w:after="100"/>
        <w:ind w:left="426" w:hanging="426"/>
        <w:contextualSpacing w:val="0"/>
        <w:jc w:val="both"/>
        <w:rPr>
          <w:rFonts w:asciiTheme="majorHAnsi" w:hAnsiTheme="majorHAnsi"/>
          <w:sz w:val="24"/>
          <w:lang w:val="uk-UA"/>
        </w:rPr>
      </w:pPr>
      <w:r w:rsidRPr="00425B03">
        <w:rPr>
          <w:rFonts w:asciiTheme="majorHAnsi" w:hAnsiTheme="majorHAnsi"/>
          <w:sz w:val="24"/>
          <w:lang w:val="uk-UA"/>
        </w:rPr>
        <w:t xml:space="preserve">МОН України, враховуючи довгостроковий характер викликів, пов'язаних з освітніми правами ВПО, </w:t>
      </w:r>
      <w:r w:rsidRPr="00425B03">
        <w:rPr>
          <w:rFonts w:asciiTheme="majorHAnsi" w:hAnsiTheme="majorHAnsi"/>
          <w:b/>
          <w:sz w:val="24"/>
          <w:lang w:val="uk-UA"/>
        </w:rPr>
        <w:t>розробити Стратегію "Мобілізація ресурсів для забезпечення дітей ВПО доступом до якісної освіти до 2020 року»</w:t>
      </w:r>
      <w:r w:rsidRPr="00425B03">
        <w:rPr>
          <w:rFonts w:asciiTheme="majorHAnsi" w:hAnsiTheme="majorHAnsi"/>
          <w:sz w:val="24"/>
          <w:lang w:val="uk-UA"/>
        </w:rPr>
        <w:t xml:space="preserve"> (робоча назва), в якій визначити головні напрямки організаційно-правової, навчально-методичної та </w:t>
      </w:r>
      <w:proofErr w:type="spellStart"/>
      <w:r w:rsidRPr="00425B03">
        <w:rPr>
          <w:rFonts w:asciiTheme="majorHAnsi" w:hAnsiTheme="majorHAnsi"/>
          <w:sz w:val="24"/>
          <w:lang w:val="uk-UA"/>
        </w:rPr>
        <w:t>інформаційно</w:t>
      </w:r>
      <w:proofErr w:type="spellEnd"/>
      <w:r w:rsidRPr="00425B03">
        <w:rPr>
          <w:rFonts w:asciiTheme="majorHAnsi" w:hAnsiTheme="majorHAnsi"/>
          <w:sz w:val="24"/>
          <w:lang w:val="uk-UA"/>
        </w:rPr>
        <w:t xml:space="preserve"> виховно</w:t>
      </w:r>
      <w:r w:rsidR="00A26D89" w:rsidRPr="00425B03">
        <w:rPr>
          <w:rFonts w:asciiTheme="majorHAnsi" w:hAnsiTheme="majorHAnsi"/>
          <w:sz w:val="24"/>
          <w:lang w:val="uk-UA"/>
        </w:rPr>
        <w:t>ї</w:t>
      </w:r>
      <w:r w:rsidRPr="00425B03">
        <w:rPr>
          <w:rFonts w:asciiTheme="majorHAnsi" w:hAnsiTheme="majorHAnsi"/>
          <w:sz w:val="24"/>
          <w:lang w:val="uk-UA"/>
        </w:rPr>
        <w:t xml:space="preserve"> діяльності закладів дошкільної та шкільної освіти, наукових інститутів, батьківської громадськості та громадських організацій. Провести переговори з представниками міжнародних програм на предмет партнерства в реалізації Стратегії.</w:t>
      </w:r>
    </w:p>
    <w:p w:rsidR="00945401" w:rsidRPr="00425B03" w:rsidRDefault="00945401" w:rsidP="00945401">
      <w:pPr>
        <w:pStyle w:val="a3"/>
        <w:numPr>
          <w:ilvl w:val="0"/>
          <w:numId w:val="7"/>
        </w:numPr>
        <w:spacing w:after="100"/>
        <w:ind w:left="426" w:hanging="426"/>
        <w:contextualSpacing w:val="0"/>
        <w:jc w:val="both"/>
        <w:rPr>
          <w:rFonts w:asciiTheme="majorHAnsi" w:hAnsiTheme="majorHAnsi"/>
          <w:sz w:val="24"/>
          <w:lang w:val="uk-UA"/>
        </w:rPr>
      </w:pPr>
      <w:r w:rsidRPr="00425B03">
        <w:rPr>
          <w:rFonts w:asciiTheme="majorHAnsi" w:hAnsiTheme="majorHAnsi"/>
          <w:sz w:val="24"/>
          <w:lang w:val="uk-UA"/>
        </w:rPr>
        <w:t>На основі Стратегії МОН України, органам управління освітою обласних адміністрацій та місцевих рад розробити і винести на затвердження сесіями рад регіональних Програм підтримки реалізації права на навчання дітей ВПО. Визначити на 2016 рік фінансові показники видаткової частини місцевих бюджетів у зв'язку зі збільшенням числа учнів.</w:t>
      </w:r>
    </w:p>
    <w:p w:rsidR="00945401" w:rsidRPr="00425B03" w:rsidRDefault="00945401" w:rsidP="00945401">
      <w:pPr>
        <w:pStyle w:val="a3"/>
        <w:numPr>
          <w:ilvl w:val="0"/>
          <w:numId w:val="7"/>
        </w:numPr>
        <w:spacing w:after="100"/>
        <w:ind w:left="426" w:hanging="426"/>
        <w:contextualSpacing w:val="0"/>
        <w:jc w:val="both"/>
        <w:rPr>
          <w:rFonts w:asciiTheme="majorHAnsi" w:hAnsiTheme="majorHAnsi"/>
          <w:sz w:val="24"/>
          <w:lang w:val="uk-UA"/>
        </w:rPr>
      </w:pPr>
      <w:r w:rsidRPr="00425B03">
        <w:rPr>
          <w:rFonts w:asciiTheme="majorHAnsi" w:hAnsiTheme="majorHAnsi"/>
          <w:sz w:val="24"/>
          <w:lang w:val="uk-UA"/>
        </w:rPr>
        <w:t xml:space="preserve">Ввести в громадські ради всіх рівнів ЦОВВ та органів управління освітою обласних адміністрацій, місцевих рад представників від ВПО. Включити в тематичний план громадських рад на 2015 рік обговорення питань, пов'язаних можливістю отримання якісної освіти дітей із сімей </w:t>
      </w:r>
      <w:r w:rsidR="00A26D89" w:rsidRPr="00425B03">
        <w:rPr>
          <w:rFonts w:asciiTheme="majorHAnsi" w:hAnsiTheme="majorHAnsi"/>
          <w:sz w:val="24"/>
          <w:lang w:val="uk-UA"/>
        </w:rPr>
        <w:t>ВПО. У процес обговорення і прийняття</w:t>
      </w:r>
      <w:r w:rsidRPr="00425B03">
        <w:rPr>
          <w:rFonts w:asciiTheme="majorHAnsi" w:hAnsiTheme="majorHAnsi"/>
          <w:sz w:val="24"/>
          <w:lang w:val="uk-UA"/>
        </w:rPr>
        <w:t xml:space="preserve"> рішень в обов'язковому порядку залучати батьківську громадськість дітей ВПО.</w:t>
      </w:r>
    </w:p>
    <w:p w:rsidR="00945401" w:rsidRPr="00425B03" w:rsidRDefault="00945401" w:rsidP="00945401">
      <w:pPr>
        <w:pStyle w:val="a3"/>
        <w:numPr>
          <w:ilvl w:val="0"/>
          <w:numId w:val="7"/>
        </w:numPr>
        <w:spacing w:after="100"/>
        <w:ind w:left="426" w:hanging="426"/>
        <w:contextualSpacing w:val="0"/>
        <w:jc w:val="both"/>
        <w:rPr>
          <w:rFonts w:asciiTheme="majorHAnsi" w:hAnsiTheme="majorHAnsi"/>
          <w:sz w:val="24"/>
          <w:lang w:val="uk-UA"/>
        </w:rPr>
      </w:pPr>
      <w:r w:rsidRPr="00425B03">
        <w:rPr>
          <w:rFonts w:asciiTheme="majorHAnsi" w:hAnsiTheme="majorHAnsi"/>
          <w:sz w:val="24"/>
          <w:lang w:val="uk-UA"/>
        </w:rPr>
        <w:lastRenderedPageBreak/>
        <w:t>Методичним підрозділам МОН спільно з релевантними громадськими організаціями розробити (можливо як завдання Стратегії) курс для вчителів початкової школи та вихователів дитячих садків на тему «Співпраця шкільної громадськості та виховання патріотизму в процесі забезпечення дітей з сімей ВПО в праві до отримання освіти». За підтримки міжнародних програм провести серію тренінгів серед змішаних груп керівників закладів освіти регіонів з максимальною кількістю ВПО.</w:t>
      </w:r>
    </w:p>
    <w:p w:rsidR="00945401" w:rsidRPr="00425B03" w:rsidRDefault="00945401" w:rsidP="00945401">
      <w:pPr>
        <w:pStyle w:val="a3"/>
        <w:numPr>
          <w:ilvl w:val="0"/>
          <w:numId w:val="7"/>
        </w:numPr>
        <w:spacing w:after="100"/>
        <w:ind w:left="426" w:hanging="426"/>
        <w:contextualSpacing w:val="0"/>
        <w:jc w:val="both"/>
        <w:rPr>
          <w:rFonts w:asciiTheme="majorHAnsi" w:hAnsiTheme="majorHAnsi"/>
          <w:sz w:val="24"/>
          <w:lang w:val="uk-UA"/>
        </w:rPr>
      </w:pPr>
      <w:r w:rsidRPr="00425B03">
        <w:rPr>
          <w:rFonts w:asciiTheme="majorHAnsi" w:hAnsiTheme="majorHAnsi"/>
          <w:sz w:val="24"/>
          <w:lang w:val="uk-UA"/>
        </w:rPr>
        <w:t xml:space="preserve">МОН України спільно з міжнародними програмами розробити і провести серед НГО з регіонів з великою кількістю ВПО, конкурс з </w:t>
      </w:r>
      <w:proofErr w:type="spellStart"/>
      <w:r w:rsidRPr="00425B03">
        <w:rPr>
          <w:rFonts w:asciiTheme="majorHAnsi" w:hAnsiTheme="majorHAnsi"/>
          <w:sz w:val="24"/>
          <w:lang w:val="uk-UA"/>
        </w:rPr>
        <w:t>мікро-грантірованію</w:t>
      </w:r>
      <w:proofErr w:type="spellEnd"/>
      <w:r w:rsidRPr="00425B03">
        <w:rPr>
          <w:rFonts w:asciiTheme="majorHAnsi" w:hAnsiTheme="majorHAnsi"/>
          <w:sz w:val="24"/>
          <w:lang w:val="uk-UA"/>
        </w:rPr>
        <w:t xml:space="preserve"> батьківських комітетів шкіл України в реалізації культурно-інформаційних та соціальних проектів. Спрямованість проектів - розвиток взаєморозуміння і співпраці у спільних діях педагогів, учнів та батьківської громадськості (включаючи представників ВПО). Для посилення соціального ефекту конкурсу, запропонувати методистам регіональних і місцевих органів управління освітою проводити тренінги за методом соціальної мобілізації та загальношкільним підходу виховання взаємоповаги серед шкільної спільноти.</w:t>
      </w:r>
    </w:p>
    <w:p w:rsidR="00A26D89" w:rsidRPr="00425B03" w:rsidRDefault="00945401" w:rsidP="00945401">
      <w:pPr>
        <w:pStyle w:val="a3"/>
        <w:numPr>
          <w:ilvl w:val="0"/>
          <w:numId w:val="7"/>
        </w:numPr>
        <w:spacing w:after="100"/>
        <w:ind w:left="426" w:hanging="426"/>
        <w:contextualSpacing w:val="0"/>
        <w:jc w:val="both"/>
        <w:rPr>
          <w:rFonts w:asciiTheme="majorHAnsi" w:hAnsiTheme="majorHAnsi"/>
          <w:sz w:val="24"/>
          <w:lang w:val="uk-UA"/>
        </w:rPr>
      </w:pPr>
      <w:r w:rsidRPr="00425B03">
        <w:rPr>
          <w:rFonts w:asciiTheme="majorHAnsi" w:hAnsiTheme="majorHAnsi"/>
          <w:sz w:val="24"/>
          <w:lang w:val="uk-UA"/>
        </w:rPr>
        <w:t>В рамках реалізації Стратегії, профільним науковим установам МОН України розробити СМАРТ індикатори реалізації, проводити річний моніторинг ситуації з ВПО. Регулярно концентрувати регіональний досвід на відповідних порталах МО України.</w:t>
      </w:r>
      <w:r w:rsidR="00A26D89" w:rsidRPr="00425B03">
        <w:rPr>
          <w:rFonts w:asciiTheme="majorHAnsi" w:hAnsiTheme="majorHAnsi"/>
          <w:sz w:val="24"/>
          <w:lang w:val="uk-UA"/>
        </w:rPr>
        <w:t xml:space="preserve"> </w:t>
      </w:r>
    </w:p>
    <w:p w:rsidR="00A26D89" w:rsidRDefault="00A26D89" w:rsidP="00A26D89">
      <w:pPr>
        <w:rPr>
          <w:lang w:val="uk-UA"/>
        </w:rPr>
      </w:pPr>
      <w:r>
        <w:rPr>
          <w:lang w:val="uk-UA"/>
        </w:rPr>
        <w:br w:type="page"/>
      </w:r>
    </w:p>
    <w:p w:rsidR="000D13D6" w:rsidRPr="000D13D6" w:rsidRDefault="000D13D6" w:rsidP="000D13D6">
      <w:pPr>
        <w:pStyle w:val="1"/>
        <w:numPr>
          <w:ilvl w:val="0"/>
          <w:numId w:val="2"/>
        </w:numPr>
        <w:ind w:left="709" w:hanging="709"/>
        <w:rPr>
          <w:shd w:val="clear" w:color="auto" w:fill="FFFFFF"/>
          <w:lang w:val="uk-UA"/>
        </w:rPr>
      </w:pPr>
      <w:bookmarkStart w:id="7" w:name="_Toc417329182"/>
      <w:r w:rsidRPr="000D13D6">
        <w:rPr>
          <w:shd w:val="clear" w:color="auto" w:fill="FFFFFF"/>
          <w:lang w:val="uk-UA"/>
        </w:rPr>
        <w:lastRenderedPageBreak/>
        <w:t>Висновки та рекомендації по вищій освіті</w:t>
      </w:r>
      <w:bookmarkEnd w:id="7"/>
    </w:p>
    <w:p w:rsidR="000D13D6" w:rsidRPr="00425B03" w:rsidRDefault="00EA13E9" w:rsidP="00425B03">
      <w:pPr>
        <w:pStyle w:val="3"/>
        <w:spacing w:after="120"/>
        <w:rPr>
          <w:sz w:val="24"/>
          <w:shd w:val="clear" w:color="auto" w:fill="FFFFFF"/>
          <w:lang w:val="uk-UA"/>
        </w:rPr>
      </w:pPr>
      <w:bookmarkStart w:id="8" w:name="_Toc417329183"/>
      <w:r w:rsidRPr="00425B03">
        <w:rPr>
          <w:sz w:val="24"/>
          <w:lang w:val="en-US"/>
        </w:rPr>
        <w:t>III</w:t>
      </w:r>
      <w:r w:rsidRPr="00425B03">
        <w:rPr>
          <w:sz w:val="24"/>
        </w:rPr>
        <w:t>.</w:t>
      </w:r>
      <w:r w:rsidRPr="00425B03">
        <w:rPr>
          <w:sz w:val="24"/>
          <w:lang w:val="en-US"/>
        </w:rPr>
        <w:t>a</w:t>
      </w:r>
      <w:r w:rsidRPr="00425B03">
        <w:rPr>
          <w:sz w:val="24"/>
        </w:rPr>
        <w:tab/>
      </w:r>
      <w:r w:rsidRPr="00425B03">
        <w:rPr>
          <w:sz w:val="24"/>
          <w:shd w:val="clear" w:color="auto" w:fill="FFFFFF"/>
          <w:lang w:val="uk-UA"/>
        </w:rPr>
        <w:t>Висновки</w:t>
      </w:r>
      <w:bookmarkEnd w:id="8"/>
    </w:p>
    <w:p w:rsidR="001E5587" w:rsidRPr="00425B03" w:rsidRDefault="00E44118" w:rsidP="00B77B5A">
      <w:pPr>
        <w:pStyle w:val="a3"/>
        <w:numPr>
          <w:ilvl w:val="0"/>
          <w:numId w:val="13"/>
        </w:numPr>
        <w:spacing w:after="120"/>
        <w:ind w:left="425" w:hanging="425"/>
        <w:contextualSpacing w:val="0"/>
        <w:jc w:val="both"/>
        <w:rPr>
          <w:rFonts w:asciiTheme="majorHAnsi" w:hAnsiTheme="majorHAnsi"/>
          <w:sz w:val="24"/>
          <w:lang w:val="uk-UA"/>
        </w:rPr>
      </w:pPr>
      <w:r w:rsidRPr="00425B03">
        <w:rPr>
          <w:rFonts w:asciiTheme="majorHAnsi" w:hAnsiTheme="majorHAnsi"/>
          <w:sz w:val="24"/>
          <w:lang w:val="uk-UA"/>
        </w:rPr>
        <w:t xml:space="preserve"> Система середньої шкільної освіти, згідно ЗУ «Про загальну середню освіту», повинна охоплювати всіх дітей шкільного віку в обов'язковому порядку. Відповідно, ставлення органів управління освіти,  адміністрацій навчальних закладів та педагогічних колективів до вирішення проблем у системі загальної середньої освіти (в тому числі забезпечення права дітей з сімей ВПО в отриманні освіти) є вмотивованим і активним, а на рівні відносин педагогів до учнів має навіть патерналістський характер.</w:t>
      </w:r>
    </w:p>
    <w:p w:rsidR="00EC1FC1" w:rsidRPr="00425B03" w:rsidRDefault="00E44118" w:rsidP="00B77B5A">
      <w:pPr>
        <w:pStyle w:val="a3"/>
        <w:numPr>
          <w:ilvl w:val="0"/>
          <w:numId w:val="13"/>
        </w:numPr>
        <w:spacing w:after="120"/>
        <w:ind w:left="425" w:hanging="425"/>
        <w:contextualSpacing w:val="0"/>
        <w:jc w:val="both"/>
        <w:rPr>
          <w:rFonts w:asciiTheme="majorHAnsi" w:hAnsiTheme="majorHAnsi"/>
          <w:sz w:val="24"/>
          <w:lang w:val="uk-UA"/>
        </w:rPr>
      </w:pPr>
      <w:r w:rsidRPr="00425B03">
        <w:rPr>
          <w:rFonts w:asciiTheme="majorHAnsi" w:hAnsiTheme="majorHAnsi"/>
          <w:sz w:val="24"/>
          <w:lang w:val="uk-UA"/>
        </w:rPr>
        <w:t xml:space="preserve"> На відміну від вищесказаного, в системі вищої освіти, навчання в університеті є добровільним рішенням кожного громадянина, і відповідно передбачається, що він, як людина досягла повноліття, повністю бере на себе відповідальність за виконання всіх вимог навчального процесу вищого навчального закладу. Роль адміністрації навчального закладу та педагогів зводитися тільки до забезпечення навчального матеріалу. До 2014 року, існуюче адміністративно-педагогічна відмінність до двох категорій споживачів освітніх послуг (школ</w:t>
      </w:r>
      <w:r w:rsidR="00C234F8" w:rsidRPr="00425B03">
        <w:rPr>
          <w:rFonts w:asciiTheme="majorHAnsi" w:hAnsiTheme="majorHAnsi"/>
          <w:sz w:val="24"/>
          <w:lang w:val="uk-UA"/>
        </w:rPr>
        <w:t>ярам і студентам) не мало великого</w:t>
      </w:r>
      <w:r w:rsidRPr="00425B03">
        <w:rPr>
          <w:rFonts w:asciiTheme="majorHAnsi" w:hAnsiTheme="majorHAnsi"/>
          <w:sz w:val="24"/>
          <w:lang w:val="uk-UA"/>
        </w:rPr>
        <w:t xml:space="preserve"> значення, оскільки випадки переведення студентів до інших міст України, по-перше були масовими, у других були заздалегідь спланованими з урахуванням фінансового стану кожної сім'ї, і розглядалося в більшій мірі як можливість отримання більшої конкурентоспроможності на ринку праці.</w:t>
      </w:r>
    </w:p>
    <w:p w:rsidR="00F06391" w:rsidRPr="00425B03" w:rsidRDefault="00F06391" w:rsidP="00B77B5A">
      <w:pPr>
        <w:pStyle w:val="a3"/>
        <w:numPr>
          <w:ilvl w:val="0"/>
          <w:numId w:val="13"/>
        </w:numPr>
        <w:spacing w:after="120"/>
        <w:ind w:left="425" w:hanging="425"/>
        <w:contextualSpacing w:val="0"/>
        <w:jc w:val="both"/>
        <w:rPr>
          <w:rFonts w:asciiTheme="majorHAnsi" w:hAnsiTheme="majorHAnsi"/>
          <w:sz w:val="24"/>
          <w:lang w:val="uk-UA"/>
        </w:rPr>
      </w:pPr>
      <w:r w:rsidRPr="00425B03">
        <w:rPr>
          <w:rFonts w:asciiTheme="majorHAnsi" w:hAnsiTheme="majorHAnsi"/>
          <w:sz w:val="24"/>
          <w:lang w:val="uk-UA"/>
        </w:rPr>
        <w:t>За результатами першого етапу дослідження вдалося встановити, що станом на лютий 2015 року у 101 вищому навчальному закладі Дніпропетровської, Запорізької, Київської, Одеської, Харківської областей та м. Київ навчається 9367 колишніх студентів із вищих навчальних закладів зони АТО. 5521 колишній студент Донецької і Луганської областей здобувають освіту за кошти державного бюджету, а 3846 – платять власні кошти або навчаються коштом юридичних осіб. 5753 студенти поселені у гуртожитках, а решта проживають у своїх</w:t>
      </w:r>
      <w:r w:rsidR="00C234F8" w:rsidRPr="00425B03">
        <w:rPr>
          <w:rFonts w:asciiTheme="majorHAnsi" w:hAnsiTheme="majorHAnsi"/>
          <w:sz w:val="24"/>
          <w:lang w:val="uk-UA"/>
        </w:rPr>
        <w:t xml:space="preserve"> родичів, знайомих та на орендованих</w:t>
      </w:r>
      <w:r w:rsidRPr="00425B03">
        <w:rPr>
          <w:rFonts w:asciiTheme="majorHAnsi" w:hAnsiTheme="majorHAnsi"/>
          <w:sz w:val="24"/>
          <w:lang w:val="uk-UA"/>
        </w:rPr>
        <w:t xml:space="preserve"> квартирах.</w:t>
      </w:r>
    </w:p>
    <w:p w:rsidR="00A12A7F" w:rsidRPr="00425B03" w:rsidRDefault="00E44118" w:rsidP="00B77B5A">
      <w:pPr>
        <w:pStyle w:val="a3"/>
        <w:numPr>
          <w:ilvl w:val="0"/>
          <w:numId w:val="13"/>
        </w:numPr>
        <w:spacing w:after="120"/>
        <w:ind w:left="425" w:hanging="425"/>
        <w:contextualSpacing w:val="0"/>
        <w:jc w:val="both"/>
        <w:rPr>
          <w:rFonts w:asciiTheme="majorHAnsi" w:hAnsiTheme="majorHAnsi"/>
          <w:sz w:val="24"/>
        </w:rPr>
      </w:pPr>
      <w:r w:rsidRPr="00425B03">
        <w:rPr>
          <w:rFonts w:asciiTheme="majorHAnsi" w:hAnsiTheme="majorHAnsi"/>
          <w:sz w:val="24"/>
          <w:lang w:val="uk-UA"/>
        </w:rPr>
        <w:t xml:space="preserve"> У нинішній ситуації, у зв'язку з вимушеним масовим переведенням студентів з ВНЗ окупованих територій необхідно глибоке і професійне розуміння екстремальної стану і депресії, в якій опинилися тисячі громадян України, з числа студентської молоді Донеччини та Криму. Наприклад, опитування студентів з числа ВПО вказує на те, що 97,2% респондентів відзначають погіршення матеріального становища порівняно з ситуацією до переїзду і вказують на зниження поточного рівня доходу, а 24% студентів готові змінити форму навчання для того, щоб мати можливість працювати і оплачувати навчання та проживання в Києві.</w:t>
      </w:r>
    </w:p>
    <w:p w:rsidR="005A1C93" w:rsidRPr="00425B03" w:rsidRDefault="00E44118" w:rsidP="00B77B5A">
      <w:pPr>
        <w:pStyle w:val="a3"/>
        <w:numPr>
          <w:ilvl w:val="0"/>
          <w:numId w:val="13"/>
        </w:numPr>
        <w:spacing w:after="120"/>
        <w:ind w:left="425" w:hanging="425"/>
        <w:contextualSpacing w:val="0"/>
        <w:jc w:val="both"/>
        <w:rPr>
          <w:rFonts w:asciiTheme="majorHAnsi" w:hAnsiTheme="majorHAnsi"/>
          <w:sz w:val="24"/>
          <w:lang w:val="uk-UA"/>
        </w:rPr>
      </w:pPr>
      <w:r w:rsidRPr="00425B03">
        <w:rPr>
          <w:rFonts w:asciiTheme="majorHAnsi" w:hAnsiTheme="majorHAnsi"/>
          <w:sz w:val="24"/>
          <w:lang w:val="uk-UA"/>
        </w:rPr>
        <w:t xml:space="preserve"> Крім того, дослідження показали, що психологічні проблеми, пов'язані з руйнуванням колишнього </w:t>
      </w:r>
      <w:r w:rsidR="00C234F8" w:rsidRPr="00425B03">
        <w:rPr>
          <w:rFonts w:asciiTheme="majorHAnsi" w:hAnsiTheme="majorHAnsi"/>
          <w:sz w:val="24"/>
          <w:lang w:val="uk-UA"/>
        </w:rPr>
        <w:t>звичного способу</w:t>
      </w:r>
      <w:r w:rsidRPr="00425B03">
        <w:rPr>
          <w:rFonts w:asciiTheme="majorHAnsi" w:hAnsiTheme="majorHAnsi"/>
          <w:sz w:val="24"/>
          <w:lang w:val="uk-UA"/>
        </w:rPr>
        <w:t xml:space="preserve"> життя в рідному місті, раптовий розрив соціальних зв'язків зі своїми родичами, друзями, невизначеність свого майбутнього, занепокоєння за своїх родичів, які залишилися, пригнічують </w:t>
      </w:r>
      <w:r w:rsidRPr="00425B03">
        <w:rPr>
          <w:rFonts w:asciiTheme="majorHAnsi" w:hAnsiTheme="majorHAnsi"/>
          <w:sz w:val="24"/>
          <w:lang w:val="uk-UA"/>
        </w:rPr>
        <w:lastRenderedPageBreak/>
        <w:t xml:space="preserve">студентів з родин ВПО однаковою мірою як проблеми матеріального характеру (проживання, харчування, витрати на навчання і т.д.). Навіть простий намір відвідати своїх батьків, які залишилися на окупованих територіях, викликає у студентів з родин ВПО обґрунтоване занепокоєння за свою безпеку. Це означає, що студенти з числа ВПО вимагають спеціального ставлення до себе з боку адміністрацій МОН та педагогічних колективів. Необхідно врахувати, що більшість студентів, які виїхали з окупованих територій, є патріотами України, і дуже важливо зберегти їх </w:t>
      </w:r>
      <w:r w:rsidR="00425B03" w:rsidRPr="00425B03">
        <w:rPr>
          <w:rFonts w:asciiTheme="majorHAnsi" w:hAnsiTheme="majorHAnsi"/>
          <w:sz w:val="24"/>
          <w:lang w:val="uk-UA"/>
        </w:rPr>
        <w:t>громадянську позицію</w:t>
      </w:r>
      <w:r w:rsidRPr="00425B03">
        <w:rPr>
          <w:rFonts w:asciiTheme="majorHAnsi" w:hAnsiTheme="majorHAnsi"/>
          <w:sz w:val="24"/>
          <w:lang w:val="uk-UA"/>
        </w:rPr>
        <w:t>.</w:t>
      </w:r>
    </w:p>
    <w:p w:rsidR="00C626E5" w:rsidRPr="00425B03" w:rsidRDefault="00E44118" w:rsidP="00B77B5A">
      <w:pPr>
        <w:pStyle w:val="a3"/>
        <w:numPr>
          <w:ilvl w:val="0"/>
          <w:numId w:val="13"/>
        </w:numPr>
        <w:spacing w:after="120"/>
        <w:ind w:left="425" w:hanging="425"/>
        <w:contextualSpacing w:val="0"/>
        <w:jc w:val="both"/>
        <w:rPr>
          <w:rFonts w:asciiTheme="majorHAnsi" w:hAnsiTheme="majorHAnsi"/>
          <w:b/>
          <w:sz w:val="24"/>
          <w:lang w:val="uk-UA"/>
        </w:rPr>
      </w:pPr>
      <w:r w:rsidRPr="00425B03">
        <w:rPr>
          <w:rFonts w:asciiTheme="majorHAnsi" w:hAnsiTheme="majorHAnsi"/>
          <w:sz w:val="24"/>
          <w:lang w:val="uk-UA"/>
        </w:rPr>
        <w:t xml:space="preserve">Першим реальним внеском МОН України у вирішення проблеми стало </w:t>
      </w:r>
      <w:r w:rsidRPr="00425B03">
        <w:rPr>
          <w:rFonts w:asciiTheme="majorHAnsi" w:hAnsiTheme="majorHAnsi"/>
          <w:b/>
          <w:sz w:val="24"/>
          <w:lang w:val="uk-UA"/>
        </w:rPr>
        <w:t>нормативно-правове забезпечення захисту прав учнів ВНЗ з окупованих територій.</w:t>
      </w:r>
      <w:r w:rsidRPr="00425B03">
        <w:rPr>
          <w:rFonts w:asciiTheme="majorHAnsi" w:hAnsiTheme="majorHAnsi"/>
          <w:sz w:val="24"/>
          <w:lang w:val="uk-UA"/>
        </w:rPr>
        <w:t xml:space="preserve"> Завдяки цьому, органи управління освітою на обласному рівні, адміністрації університетів отримали можливість розробки локальних регуляторних актів та реалізації на їх основі процесу переведення студентів ВПО. Разом з тим, у звітах за результатами моніторингу вказується на </w:t>
      </w:r>
      <w:r w:rsidRPr="00425B03">
        <w:rPr>
          <w:rFonts w:asciiTheme="majorHAnsi" w:hAnsiTheme="majorHAnsi"/>
          <w:b/>
          <w:sz w:val="24"/>
          <w:lang w:val="uk-UA"/>
        </w:rPr>
        <w:t>запізненість і фрагментарність процесу розробки актуальних НПА.</w:t>
      </w:r>
    </w:p>
    <w:p w:rsidR="00DF7329" w:rsidRPr="00425B03" w:rsidRDefault="00E44118" w:rsidP="00B77B5A">
      <w:pPr>
        <w:pStyle w:val="a3"/>
        <w:numPr>
          <w:ilvl w:val="0"/>
          <w:numId w:val="13"/>
        </w:numPr>
        <w:spacing w:after="120"/>
        <w:ind w:left="425" w:hanging="425"/>
        <w:contextualSpacing w:val="0"/>
        <w:jc w:val="both"/>
        <w:rPr>
          <w:rFonts w:asciiTheme="majorHAnsi" w:hAnsiTheme="majorHAnsi"/>
          <w:sz w:val="24"/>
        </w:rPr>
      </w:pPr>
      <w:r w:rsidRPr="00425B03">
        <w:rPr>
          <w:rFonts w:asciiTheme="majorHAnsi" w:hAnsiTheme="majorHAnsi"/>
          <w:sz w:val="24"/>
          <w:lang w:val="uk-UA"/>
        </w:rPr>
        <w:t xml:space="preserve"> Заслуговує увагу ініціатива МОН та адміністрацій ВНЗ з інформування студентів з тимчасово окупованих територій про можливості переведення в профільні університети інших міст України. МОН України та адміністраціями університетів була проведена значна організаційно-методична робота з оптимізації включення студентів з родин ВПО в навчальний процес у ВНЗ. Одночасно, результати моніторингу виявили наступні проблеми:</w:t>
      </w:r>
    </w:p>
    <w:p w:rsidR="00F70D59" w:rsidRPr="00425B03" w:rsidRDefault="00057F3E" w:rsidP="00B77B5A">
      <w:pPr>
        <w:pStyle w:val="a3"/>
        <w:numPr>
          <w:ilvl w:val="0"/>
          <w:numId w:val="16"/>
        </w:numPr>
        <w:spacing w:after="120"/>
        <w:ind w:left="993" w:hanging="633"/>
        <w:contextualSpacing w:val="0"/>
        <w:jc w:val="both"/>
        <w:rPr>
          <w:rFonts w:asciiTheme="majorHAnsi" w:hAnsiTheme="majorHAnsi"/>
          <w:sz w:val="24"/>
        </w:rPr>
      </w:pPr>
      <w:r w:rsidRPr="00425B03">
        <w:rPr>
          <w:rFonts w:asciiTheme="majorHAnsi" w:hAnsiTheme="majorHAnsi"/>
          <w:b/>
          <w:sz w:val="24"/>
          <w:lang w:val="uk-UA"/>
        </w:rPr>
        <w:t xml:space="preserve"> Неефективність інформування </w:t>
      </w:r>
      <w:r w:rsidRPr="00425B03">
        <w:rPr>
          <w:rFonts w:asciiTheme="majorHAnsi" w:hAnsiTheme="majorHAnsi"/>
          <w:sz w:val="24"/>
          <w:lang w:val="uk-UA"/>
        </w:rPr>
        <w:t>серед студентів з числа ВПО. Наприклад, 16 грудня 2014 був виданий наказ МОН України № 1474 «Щодо обсягу державного замовлення», а також  листом від 16.12.2014 № 1 / 9-639, де роз'яснено питання процедури переведення студентів, оформлення документації та здійснення заходів, спрямованих на безумовне виконання вимог чинного законодавства. Однак, в наказі сказано, що таки особини мають подати заяви на переведення до 19.12.2014 р. Наказ №556 від 7.05.2014 був розміщений (за спостереженнями експертів, що проводили моніторинг) тільки на сайтах МОН України та ВРУ, що в умовах тотальної інформаційної блокади на тимчасово окупованих територіях є явно недостатнім. Наприклад, згідно з результатами моніторингу, з опитаних студентів тільки 39% зверталася на гарячу лінію МОН України, при цьому що 17% відзначили неякісну роботу гарячої лінії, 12% взагалі не отримали відповіді, 8% отримали недостатню інформацію по заданому питанню.</w:t>
      </w:r>
    </w:p>
    <w:p w:rsidR="00CF2335" w:rsidRPr="00425B03" w:rsidRDefault="00057F3E" w:rsidP="00B77B5A">
      <w:pPr>
        <w:pStyle w:val="a3"/>
        <w:numPr>
          <w:ilvl w:val="0"/>
          <w:numId w:val="16"/>
        </w:numPr>
        <w:spacing w:after="120"/>
        <w:ind w:left="993" w:hanging="633"/>
        <w:contextualSpacing w:val="0"/>
        <w:jc w:val="both"/>
        <w:rPr>
          <w:rFonts w:asciiTheme="majorHAnsi" w:hAnsiTheme="majorHAnsi"/>
          <w:sz w:val="24"/>
        </w:rPr>
      </w:pPr>
      <w:r w:rsidRPr="00425B03">
        <w:rPr>
          <w:rFonts w:asciiTheme="majorHAnsi" w:hAnsiTheme="majorHAnsi"/>
          <w:b/>
          <w:sz w:val="24"/>
          <w:lang w:val="uk-UA"/>
        </w:rPr>
        <w:t xml:space="preserve"> Бюрократизація і невизначеність документів для перекладу. </w:t>
      </w:r>
      <w:r w:rsidRPr="00425B03">
        <w:rPr>
          <w:rFonts w:asciiTheme="majorHAnsi" w:hAnsiTheme="majorHAnsi"/>
          <w:sz w:val="24"/>
          <w:lang w:val="uk-UA"/>
        </w:rPr>
        <w:t xml:space="preserve">Консультаційний центр МОН України дає роз'яснення, що точний перелік документів, необхідних для зарахування, необхідно уточнювати безпосередньо у ВНЗ, куди збирається переводитися переселенець. Це створює ризики широкого, а іноді необґрунтованого, тлумачення даної вимоги з боку адміністрацій ВНЗ. Відповідно до звітів з моніторингу, 35% відсотків опитаних говорять про те, що зіткнулися з проблемою збору документів. З них 37% із зони АТО і 17% з АРК. Наприклад, студенти </w:t>
      </w:r>
      <w:r w:rsidRPr="00425B03">
        <w:rPr>
          <w:rFonts w:asciiTheme="majorHAnsi" w:hAnsiTheme="majorHAnsi"/>
          <w:sz w:val="24"/>
          <w:lang w:val="uk-UA"/>
        </w:rPr>
        <w:lastRenderedPageBreak/>
        <w:t xml:space="preserve">переселенці з Криму відзначають, що їм для зарахування вимагалося забрати з колишнього місця навчання диплом бакалавра, диплом спеціаліста і т.д., і довідку про академічну різницю. Але отримати дані документи в Криму від адміністрації ВНЗ, що знаходяться під контролем окупаційних властей, неможливо. Більш того, 12% студентів відповіли, що поїздка за документом на тимчасово окуповані території несе ризики для їхньої безпеки. Очевидно, що адміністрації ВНЗ повинні розуміти, що на окупованих територіях, де тільки лише наявність будь-якого українського символу (наприклад прапорця) є підставою для звинувачення в екстремізмі і наступному кримінальному переслідуванні, рішення про переведення в український ВНЗ і персональний запит в зв'язку з цим, своїх документів, може мати сумні наслідки для студентів. Існують також позитивні приклади (м. Суми). Було виявлено, що у 79% опитування не виникло проблем з оформленням документів при переведенні на навчання до </w:t>
      </w:r>
      <w:r w:rsidR="00425B03" w:rsidRPr="00425B03">
        <w:rPr>
          <w:rFonts w:asciiTheme="majorHAnsi" w:hAnsiTheme="majorHAnsi"/>
          <w:sz w:val="24"/>
          <w:lang w:val="uk-UA"/>
        </w:rPr>
        <w:t>і</w:t>
      </w:r>
      <w:r w:rsidRPr="00425B03">
        <w:rPr>
          <w:rFonts w:asciiTheme="majorHAnsi" w:hAnsiTheme="majorHAnsi"/>
          <w:sz w:val="24"/>
          <w:lang w:val="uk-UA"/>
        </w:rPr>
        <w:t>ншого ВНЗ. У більшості випадків адміністрації ВНЗ охоче прийняли документи, намагалися допомогти, за що студенти їм дуже вдячні. Серед опитаних студентів 14% говорять про упереджене ставлення з боку адміністрації ВНЗ. Проблему упередженого ставлення відзначають в основному студенти із зони АТО, в той час як студенти з АРК кажуть, що не помітили негативного ставлення з боку викладачів та студентського колективу.</w:t>
      </w:r>
    </w:p>
    <w:p w:rsidR="004201F0" w:rsidRPr="00B77B5A" w:rsidRDefault="00057F3E" w:rsidP="00B77B5A">
      <w:pPr>
        <w:pStyle w:val="a3"/>
        <w:numPr>
          <w:ilvl w:val="0"/>
          <w:numId w:val="16"/>
        </w:numPr>
        <w:spacing w:after="120"/>
        <w:ind w:left="993" w:hanging="633"/>
        <w:contextualSpacing w:val="0"/>
        <w:jc w:val="both"/>
        <w:rPr>
          <w:rFonts w:asciiTheme="majorHAnsi" w:hAnsiTheme="majorHAnsi"/>
          <w:sz w:val="24"/>
          <w:lang w:val="uk-UA"/>
        </w:rPr>
      </w:pPr>
      <w:r w:rsidRPr="00B77B5A">
        <w:rPr>
          <w:rFonts w:asciiTheme="majorHAnsi" w:hAnsiTheme="majorHAnsi"/>
          <w:sz w:val="24"/>
          <w:lang w:val="uk-UA"/>
        </w:rPr>
        <w:t xml:space="preserve">Академічна різниця. У ході моніторингу опитані студенти акцентували питання академічної різниці, як проблему. Необхідність ліквідації академічної різниці, яка в окремому випадку становила до 38 предметів одночасно із навчання. Проблема особливо актуальна для студентів, які завершують навчання за освітньо-кваліфікаційним рівнем та готуються до державних іспитів. Студенти скаржаться на неможливість за невеликий проміжок годині опанувати доволі великий об'єм нових знань; </w:t>
      </w:r>
    </w:p>
    <w:p w:rsidR="001E59B3" w:rsidRPr="00B77B5A" w:rsidRDefault="00057F3E" w:rsidP="00B77B5A">
      <w:pPr>
        <w:pStyle w:val="a3"/>
        <w:numPr>
          <w:ilvl w:val="0"/>
          <w:numId w:val="16"/>
        </w:numPr>
        <w:spacing w:after="120"/>
        <w:ind w:left="993" w:hanging="633"/>
        <w:contextualSpacing w:val="0"/>
        <w:jc w:val="both"/>
        <w:rPr>
          <w:rFonts w:asciiTheme="majorHAnsi" w:hAnsiTheme="majorHAnsi"/>
          <w:sz w:val="24"/>
          <w:lang w:val="uk-UA"/>
        </w:rPr>
      </w:pPr>
      <w:r w:rsidRPr="00B77B5A">
        <w:rPr>
          <w:rFonts w:asciiTheme="majorHAnsi" w:hAnsiTheme="majorHAnsi"/>
          <w:sz w:val="24"/>
          <w:lang w:val="uk-UA"/>
        </w:rPr>
        <w:t xml:space="preserve"> Проблема доступного житла. У різних містах України, студенти з числа ВПО мали проблеми з поселенням у гуртожитки. У Києві, з цим зіткнулися 34% студентів ВПО. Крім того, з'явилася нова проблема - відсутність можливості на час канікул виїхати на окуповані території і неготовність ВНЗ забезпечити таких студентів місцями в гуртожитку. З подібною проблемою зіткнулися 26% опитаних студентів. Студентам-переселенців дуже важко знайти місце проживання, якщо це не гуртожиток при ВНЗ. Власники  у більшості випадків не хочуть здавати квартиру переселенцям (Суми). При всьому цьому, 44% студентів не подали заяви на реєстрацію свого статусу, як ВПО. Серед причин найчастіше вказується незнання про процедуру реєстрації статусу ВПО. Крім того, дослідження показало, що переміщені студенти не бажають відкрито говорити про свої проблеми. Багатьом з них не комфортно, або навіть соромно звертатись за допомогою, навіть якщо це їм необхідно.</w:t>
      </w:r>
    </w:p>
    <w:p w:rsidR="00F957F1" w:rsidRPr="00614EAF" w:rsidRDefault="00F957F1" w:rsidP="00614EAF">
      <w:pPr>
        <w:jc w:val="both"/>
        <w:rPr>
          <w:rFonts w:asciiTheme="majorHAnsi" w:hAnsiTheme="majorHAnsi"/>
          <w:i/>
          <w:szCs w:val="28"/>
          <w:lang w:val="uk-UA"/>
        </w:rPr>
      </w:pPr>
      <w:r w:rsidRPr="00614EAF">
        <w:rPr>
          <w:rFonts w:asciiTheme="majorHAnsi" w:hAnsiTheme="majorHAnsi"/>
          <w:i/>
          <w:szCs w:val="28"/>
          <w:lang w:val="uk-UA"/>
        </w:rPr>
        <w:t>Де Ви плануєте проживати після закінчення ВНЗ</w:t>
      </w:r>
      <w:r w:rsidR="00D82A39">
        <w:rPr>
          <w:rFonts w:asciiTheme="majorHAnsi" w:hAnsiTheme="majorHAnsi"/>
          <w:i/>
          <w:szCs w:val="28"/>
          <w:lang w:val="uk-UA"/>
        </w:rPr>
        <w:t xml:space="preserve"> (результати опитування надані у відсотках)</w:t>
      </w:r>
      <w:r w:rsidRPr="00614EAF">
        <w:rPr>
          <w:rFonts w:asciiTheme="majorHAnsi" w:hAnsiTheme="majorHAnsi"/>
          <w:i/>
          <w:szCs w:val="28"/>
          <w:lang w:val="uk-UA"/>
        </w:rPr>
        <w:t>?</w:t>
      </w:r>
    </w:p>
    <w:p w:rsidR="00F957F1" w:rsidRPr="00614EAF" w:rsidRDefault="00F957F1" w:rsidP="00614EAF">
      <w:pPr>
        <w:jc w:val="both"/>
        <w:rPr>
          <w:rFonts w:asciiTheme="majorHAnsi" w:hAnsiTheme="majorHAnsi"/>
          <w:i/>
          <w:szCs w:val="28"/>
          <w:lang w:val="uk-UA"/>
        </w:rPr>
      </w:pPr>
      <w:r>
        <w:rPr>
          <w:noProof/>
          <w:lang w:val="en-US"/>
        </w:rPr>
        <w:lastRenderedPageBreak/>
        <w:drawing>
          <wp:inline distT="0" distB="0" distL="0" distR="0">
            <wp:extent cx="5940425" cy="2372737"/>
            <wp:effectExtent l="0" t="0" r="3175" b="889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A13E9" w:rsidRPr="00B77B5A" w:rsidRDefault="00EA13E9" w:rsidP="00B77B5A">
      <w:pPr>
        <w:pStyle w:val="3"/>
        <w:spacing w:before="240" w:after="120"/>
        <w:rPr>
          <w:sz w:val="24"/>
        </w:rPr>
      </w:pPr>
      <w:bookmarkStart w:id="9" w:name="_Toc417329184"/>
      <w:r w:rsidRPr="00B77B5A">
        <w:rPr>
          <w:sz w:val="24"/>
          <w:lang w:val="en-US"/>
        </w:rPr>
        <w:t>III</w:t>
      </w:r>
      <w:r w:rsidRPr="00B77B5A">
        <w:rPr>
          <w:sz w:val="24"/>
        </w:rPr>
        <w:t>.</w:t>
      </w:r>
      <w:r w:rsidRPr="00B77B5A">
        <w:rPr>
          <w:sz w:val="24"/>
          <w:lang w:val="en-US"/>
        </w:rPr>
        <w:t>b</w:t>
      </w:r>
      <w:r w:rsidRPr="00B77B5A">
        <w:rPr>
          <w:sz w:val="24"/>
        </w:rPr>
        <w:tab/>
      </w:r>
      <w:r w:rsidRPr="00B77B5A">
        <w:rPr>
          <w:sz w:val="24"/>
          <w:shd w:val="clear" w:color="auto" w:fill="FFFFFF"/>
          <w:lang w:val="uk-UA"/>
        </w:rPr>
        <w:t>Рекомендації</w:t>
      </w:r>
      <w:bookmarkEnd w:id="9"/>
    </w:p>
    <w:p w:rsidR="00CB55B9" w:rsidRPr="00B77B5A" w:rsidRDefault="00057F3E" w:rsidP="00B77B5A">
      <w:pPr>
        <w:pStyle w:val="a3"/>
        <w:numPr>
          <w:ilvl w:val="0"/>
          <w:numId w:val="15"/>
        </w:numPr>
        <w:tabs>
          <w:tab w:val="left" w:pos="426"/>
        </w:tabs>
        <w:spacing w:after="120"/>
        <w:ind w:left="426" w:hanging="426"/>
        <w:contextualSpacing w:val="0"/>
        <w:jc w:val="both"/>
        <w:rPr>
          <w:rFonts w:asciiTheme="majorHAnsi" w:hAnsiTheme="majorHAnsi"/>
          <w:sz w:val="24"/>
          <w:lang w:val="uk-UA"/>
        </w:rPr>
      </w:pPr>
      <w:r w:rsidRPr="00B77B5A">
        <w:rPr>
          <w:rFonts w:asciiTheme="majorHAnsi" w:hAnsiTheme="majorHAnsi"/>
          <w:sz w:val="24"/>
          <w:lang w:val="uk-UA"/>
        </w:rPr>
        <w:t>МОН України спільно з профільними громадськими організаціями підвищити ефективність інформування студентів про можливості пере</w:t>
      </w:r>
      <w:r w:rsidR="00425B03" w:rsidRPr="00B77B5A">
        <w:rPr>
          <w:rFonts w:asciiTheme="majorHAnsi" w:hAnsiTheme="majorHAnsi"/>
          <w:sz w:val="24"/>
          <w:lang w:val="uk-UA"/>
        </w:rPr>
        <w:t>ведення</w:t>
      </w:r>
      <w:r w:rsidRPr="00B77B5A">
        <w:rPr>
          <w:rFonts w:asciiTheme="majorHAnsi" w:hAnsiTheme="majorHAnsi"/>
          <w:sz w:val="24"/>
          <w:lang w:val="uk-UA"/>
        </w:rPr>
        <w:t xml:space="preserve"> з університетів, що знаходяться на тимчасово окупованій території, шляхом </w:t>
      </w:r>
      <w:r w:rsidRPr="00B77B5A">
        <w:rPr>
          <w:rFonts w:asciiTheme="majorHAnsi" w:hAnsiTheme="majorHAnsi"/>
          <w:b/>
          <w:sz w:val="24"/>
          <w:lang w:val="uk-UA"/>
        </w:rPr>
        <w:t xml:space="preserve">використання можливостей соціальної мережі, створення та </w:t>
      </w:r>
      <w:proofErr w:type="spellStart"/>
      <w:r w:rsidRPr="00B77B5A">
        <w:rPr>
          <w:rFonts w:asciiTheme="majorHAnsi" w:hAnsiTheme="majorHAnsi"/>
          <w:b/>
          <w:sz w:val="24"/>
          <w:lang w:val="uk-UA"/>
        </w:rPr>
        <w:t>модерування</w:t>
      </w:r>
      <w:proofErr w:type="spellEnd"/>
      <w:r w:rsidRPr="00B77B5A">
        <w:rPr>
          <w:rFonts w:asciiTheme="majorHAnsi" w:hAnsiTheme="majorHAnsi"/>
          <w:b/>
          <w:sz w:val="24"/>
          <w:lang w:val="uk-UA"/>
        </w:rPr>
        <w:t xml:space="preserve"> уповноваженим представником МОН України форумів з питань переведення студентів, регулярного висвітлення на національних каналах сюжетів на дану тему.</w:t>
      </w:r>
      <w:r w:rsidRPr="00B77B5A">
        <w:rPr>
          <w:rFonts w:asciiTheme="majorHAnsi" w:hAnsiTheme="majorHAnsi"/>
          <w:sz w:val="24"/>
          <w:lang w:val="uk-UA"/>
        </w:rPr>
        <w:t xml:space="preserve"> Оптимізувати функціонування телефону гарячої лінії МОН.</w:t>
      </w:r>
    </w:p>
    <w:p w:rsidR="00057F3E" w:rsidRPr="00B77B5A" w:rsidRDefault="00057F3E" w:rsidP="00B77B5A">
      <w:pPr>
        <w:pStyle w:val="a3"/>
        <w:numPr>
          <w:ilvl w:val="0"/>
          <w:numId w:val="15"/>
        </w:numPr>
        <w:tabs>
          <w:tab w:val="left" w:pos="426"/>
        </w:tabs>
        <w:spacing w:after="120"/>
        <w:ind w:left="426" w:hanging="426"/>
        <w:contextualSpacing w:val="0"/>
        <w:jc w:val="both"/>
        <w:rPr>
          <w:rFonts w:asciiTheme="majorHAnsi" w:hAnsiTheme="majorHAnsi"/>
          <w:b/>
          <w:sz w:val="24"/>
          <w:lang w:val="uk-UA"/>
        </w:rPr>
      </w:pPr>
      <w:r w:rsidRPr="00B77B5A">
        <w:rPr>
          <w:rFonts w:asciiTheme="majorHAnsi" w:hAnsiTheme="majorHAnsi"/>
          <w:sz w:val="24"/>
          <w:lang w:val="uk-UA"/>
        </w:rPr>
        <w:t xml:space="preserve">МОН України при підготовці нормативно-правових актів, що регулює строки подання заяв про переведення, </w:t>
      </w:r>
      <w:r w:rsidRPr="00B77B5A">
        <w:rPr>
          <w:rFonts w:asciiTheme="majorHAnsi" w:hAnsiTheme="majorHAnsi"/>
          <w:b/>
          <w:sz w:val="24"/>
          <w:lang w:val="uk-UA"/>
        </w:rPr>
        <w:t>врахувати обмеження доступу до відповідної інформації, зважаючи інформаційної блокади на тимчасово окупованих територіях.</w:t>
      </w:r>
    </w:p>
    <w:p w:rsidR="00FA2345" w:rsidRPr="00B77B5A" w:rsidRDefault="00057F3E" w:rsidP="00B77B5A">
      <w:pPr>
        <w:pStyle w:val="a3"/>
        <w:numPr>
          <w:ilvl w:val="0"/>
          <w:numId w:val="15"/>
        </w:numPr>
        <w:tabs>
          <w:tab w:val="left" w:pos="426"/>
        </w:tabs>
        <w:spacing w:after="120"/>
        <w:ind w:left="426" w:hanging="426"/>
        <w:contextualSpacing w:val="0"/>
        <w:jc w:val="both"/>
        <w:rPr>
          <w:rFonts w:asciiTheme="majorHAnsi" w:hAnsiTheme="majorHAnsi"/>
          <w:sz w:val="24"/>
          <w:lang w:val="uk-UA"/>
        </w:rPr>
      </w:pPr>
      <w:r w:rsidRPr="00B77B5A">
        <w:rPr>
          <w:rFonts w:asciiTheme="majorHAnsi" w:hAnsiTheme="majorHAnsi"/>
          <w:b/>
          <w:sz w:val="24"/>
          <w:lang w:val="uk-UA"/>
        </w:rPr>
        <w:t>Привести в єдиний порядок (максимально можливий) список документів,</w:t>
      </w:r>
      <w:r w:rsidRPr="00B77B5A">
        <w:rPr>
          <w:rFonts w:asciiTheme="majorHAnsi" w:hAnsiTheme="majorHAnsi"/>
          <w:sz w:val="24"/>
          <w:lang w:val="uk-UA"/>
        </w:rPr>
        <w:t xml:space="preserve"> необхідних для переведення студентів з університетів на тимчасово окупованій території. Розробити єдиний порядок прийняття рішень приймальними комісіями в ситуації неможливості студентів всі необхідні документи (в тому числі з причини втрати).</w:t>
      </w:r>
    </w:p>
    <w:p w:rsidR="00FA2345" w:rsidRPr="00B77B5A" w:rsidRDefault="00057F3E" w:rsidP="00B77B5A">
      <w:pPr>
        <w:pStyle w:val="a3"/>
        <w:numPr>
          <w:ilvl w:val="0"/>
          <w:numId w:val="15"/>
        </w:numPr>
        <w:tabs>
          <w:tab w:val="left" w:pos="426"/>
        </w:tabs>
        <w:spacing w:after="120"/>
        <w:ind w:left="426" w:hanging="426"/>
        <w:contextualSpacing w:val="0"/>
        <w:jc w:val="both"/>
        <w:rPr>
          <w:rFonts w:asciiTheme="majorHAnsi" w:hAnsiTheme="majorHAnsi"/>
          <w:b/>
          <w:sz w:val="24"/>
          <w:lang w:val="uk-UA"/>
        </w:rPr>
      </w:pPr>
      <w:r w:rsidRPr="00B77B5A">
        <w:rPr>
          <w:rFonts w:asciiTheme="majorHAnsi" w:hAnsiTheme="majorHAnsi"/>
          <w:sz w:val="24"/>
          <w:lang w:val="uk-UA"/>
        </w:rPr>
        <w:t xml:space="preserve"> Адміністраціям ВНЗ і представникам студентської самоорганізації регулярно </w:t>
      </w:r>
      <w:r w:rsidRPr="00B77B5A">
        <w:rPr>
          <w:rFonts w:asciiTheme="majorHAnsi" w:hAnsiTheme="majorHAnsi"/>
          <w:b/>
          <w:sz w:val="24"/>
          <w:lang w:val="uk-UA"/>
        </w:rPr>
        <w:t>проводити заходи, спрямовані на попередження ізольованості студентів ВПО, у тому числі надання психологічної допомоги.</w:t>
      </w:r>
    </w:p>
    <w:p w:rsidR="00FA2345" w:rsidRPr="00B77B5A" w:rsidRDefault="00C80BF7" w:rsidP="00B77B5A">
      <w:pPr>
        <w:pStyle w:val="a3"/>
        <w:numPr>
          <w:ilvl w:val="0"/>
          <w:numId w:val="15"/>
        </w:numPr>
        <w:tabs>
          <w:tab w:val="left" w:pos="426"/>
        </w:tabs>
        <w:spacing w:after="120"/>
        <w:ind w:left="426" w:hanging="426"/>
        <w:contextualSpacing w:val="0"/>
        <w:jc w:val="both"/>
        <w:rPr>
          <w:rFonts w:asciiTheme="majorHAnsi" w:hAnsiTheme="majorHAnsi"/>
          <w:b/>
          <w:sz w:val="24"/>
          <w:lang w:val="uk-UA"/>
        </w:rPr>
      </w:pPr>
      <w:r w:rsidRPr="00B77B5A">
        <w:rPr>
          <w:rFonts w:asciiTheme="majorHAnsi" w:hAnsiTheme="majorHAnsi"/>
          <w:sz w:val="24"/>
          <w:lang w:val="uk-UA"/>
        </w:rPr>
        <w:t xml:space="preserve"> Передбачити в центральному та місцевих бюджетах 2016 </w:t>
      </w:r>
      <w:r w:rsidRPr="00B77B5A">
        <w:rPr>
          <w:rFonts w:asciiTheme="majorHAnsi" w:hAnsiTheme="majorHAnsi"/>
          <w:b/>
          <w:sz w:val="24"/>
          <w:lang w:val="uk-UA"/>
        </w:rPr>
        <w:t>додаткові витрати на вирішення проблем доступного житла для студентів ВПО.</w:t>
      </w:r>
    </w:p>
    <w:p w:rsidR="00CE307D" w:rsidRPr="00B77B5A" w:rsidRDefault="00C80BF7" w:rsidP="00B77B5A">
      <w:pPr>
        <w:pStyle w:val="a3"/>
        <w:numPr>
          <w:ilvl w:val="0"/>
          <w:numId w:val="15"/>
        </w:numPr>
        <w:tabs>
          <w:tab w:val="left" w:pos="426"/>
        </w:tabs>
        <w:spacing w:after="120"/>
        <w:ind w:left="426" w:hanging="426"/>
        <w:contextualSpacing w:val="0"/>
        <w:jc w:val="both"/>
        <w:rPr>
          <w:rFonts w:asciiTheme="majorHAnsi" w:hAnsiTheme="majorHAnsi"/>
          <w:sz w:val="24"/>
          <w:lang w:val="uk-UA"/>
        </w:rPr>
      </w:pPr>
      <w:r w:rsidRPr="00B77B5A">
        <w:rPr>
          <w:rFonts w:asciiTheme="majorHAnsi" w:hAnsiTheme="majorHAnsi"/>
          <w:b/>
          <w:sz w:val="24"/>
          <w:lang w:val="uk-UA"/>
        </w:rPr>
        <w:t>Організувати програму матеріальної підтримки</w:t>
      </w:r>
      <w:r w:rsidRPr="00B77B5A">
        <w:rPr>
          <w:rFonts w:asciiTheme="majorHAnsi" w:hAnsiTheme="majorHAnsi"/>
          <w:sz w:val="24"/>
          <w:lang w:val="uk-UA"/>
        </w:rPr>
        <w:t xml:space="preserve">(одяг, побутові речі) студентів ВПО через створення фондів або використання </w:t>
      </w:r>
      <w:r w:rsidR="00425B03" w:rsidRPr="00B77B5A">
        <w:rPr>
          <w:rFonts w:asciiTheme="majorHAnsi" w:hAnsiTheme="majorHAnsi"/>
          <w:sz w:val="24"/>
          <w:lang w:val="uk-UA"/>
        </w:rPr>
        <w:t>профспілкових</w:t>
      </w:r>
      <w:r w:rsidRPr="00B77B5A">
        <w:rPr>
          <w:rFonts w:asciiTheme="majorHAnsi" w:hAnsiTheme="majorHAnsi"/>
          <w:sz w:val="24"/>
          <w:lang w:val="uk-UA"/>
        </w:rPr>
        <w:t xml:space="preserve"> комітетів у тому числі на конкурсній основі за підсумками навчання. </w:t>
      </w:r>
    </w:p>
    <w:p w:rsidR="00CE307D" w:rsidRPr="00B77B5A" w:rsidRDefault="00C80BF7" w:rsidP="00B77B5A">
      <w:pPr>
        <w:pStyle w:val="a3"/>
        <w:numPr>
          <w:ilvl w:val="0"/>
          <w:numId w:val="15"/>
        </w:numPr>
        <w:tabs>
          <w:tab w:val="left" w:pos="426"/>
        </w:tabs>
        <w:spacing w:after="120"/>
        <w:ind w:left="426" w:hanging="426"/>
        <w:contextualSpacing w:val="0"/>
        <w:jc w:val="both"/>
        <w:rPr>
          <w:rFonts w:asciiTheme="majorHAnsi" w:hAnsiTheme="majorHAnsi"/>
          <w:b/>
          <w:sz w:val="24"/>
          <w:lang w:val="uk-UA"/>
        </w:rPr>
      </w:pPr>
      <w:r w:rsidRPr="00B77B5A">
        <w:rPr>
          <w:rFonts w:asciiTheme="majorHAnsi" w:hAnsiTheme="majorHAnsi"/>
          <w:sz w:val="24"/>
          <w:lang w:val="uk-UA"/>
        </w:rPr>
        <w:t xml:space="preserve"> МОН України провести переговори з ПРООН щодо співпраці </w:t>
      </w:r>
      <w:r w:rsidRPr="00B77B5A">
        <w:rPr>
          <w:rFonts w:asciiTheme="majorHAnsi" w:hAnsiTheme="majorHAnsi"/>
          <w:b/>
          <w:sz w:val="24"/>
          <w:lang w:val="uk-UA"/>
        </w:rPr>
        <w:t>в питанні створення додаткових робочих місць для студентів ВПО.</w:t>
      </w:r>
    </w:p>
    <w:p w:rsidR="00614EAF" w:rsidRPr="00B77B5A" w:rsidRDefault="00C80BF7" w:rsidP="00B77B5A">
      <w:pPr>
        <w:pStyle w:val="a3"/>
        <w:numPr>
          <w:ilvl w:val="0"/>
          <w:numId w:val="7"/>
        </w:numPr>
        <w:tabs>
          <w:tab w:val="left" w:pos="426"/>
        </w:tabs>
        <w:spacing w:after="120"/>
        <w:ind w:left="426" w:hanging="426"/>
        <w:contextualSpacing w:val="0"/>
        <w:jc w:val="both"/>
        <w:rPr>
          <w:rFonts w:asciiTheme="majorHAnsi" w:hAnsiTheme="majorHAnsi"/>
          <w:sz w:val="24"/>
          <w:lang w:val="uk-UA"/>
        </w:rPr>
      </w:pPr>
      <w:r w:rsidRPr="00B77B5A">
        <w:rPr>
          <w:rFonts w:asciiTheme="majorHAnsi" w:hAnsiTheme="majorHAnsi"/>
          <w:sz w:val="24"/>
          <w:lang w:val="uk-UA"/>
        </w:rPr>
        <w:lastRenderedPageBreak/>
        <w:t xml:space="preserve"> Ввести в громадські ради при МОН України, ОДА, студентські ради представників громадських організацій, що захищають права студентів-переселенців.</w:t>
      </w:r>
    </w:p>
    <w:p w:rsidR="00614EAF" w:rsidRPr="00B77B5A" w:rsidRDefault="00614EAF" w:rsidP="00B77B5A">
      <w:pPr>
        <w:pStyle w:val="a3"/>
        <w:numPr>
          <w:ilvl w:val="0"/>
          <w:numId w:val="7"/>
        </w:numPr>
        <w:tabs>
          <w:tab w:val="left" w:pos="426"/>
        </w:tabs>
        <w:spacing w:after="120"/>
        <w:ind w:left="426" w:hanging="426"/>
        <w:contextualSpacing w:val="0"/>
        <w:jc w:val="both"/>
        <w:rPr>
          <w:rFonts w:asciiTheme="majorHAnsi" w:hAnsiTheme="majorHAnsi"/>
          <w:sz w:val="24"/>
          <w:lang w:val="uk-UA"/>
        </w:rPr>
      </w:pPr>
      <w:r w:rsidRPr="00B77B5A">
        <w:rPr>
          <w:rFonts w:asciiTheme="majorHAnsi" w:hAnsiTheme="majorHAnsi"/>
          <w:sz w:val="24"/>
          <w:lang w:val="uk-UA"/>
        </w:rPr>
        <w:t>МОН України спільно з міжнародними програмами розробити і провести серед студен</w:t>
      </w:r>
      <w:r w:rsidR="00C80BF7" w:rsidRPr="00B77B5A">
        <w:rPr>
          <w:rFonts w:asciiTheme="majorHAnsi" w:hAnsiTheme="majorHAnsi"/>
          <w:sz w:val="24"/>
          <w:lang w:val="uk-UA"/>
        </w:rPr>
        <w:t xml:space="preserve">тських </w:t>
      </w:r>
      <w:r w:rsidRPr="00B77B5A">
        <w:rPr>
          <w:rFonts w:asciiTheme="majorHAnsi" w:hAnsiTheme="majorHAnsi"/>
          <w:sz w:val="24"/>
          <w:lang w:val="uk-UA"/>
        </w:rPr>
        <w:t>НГО з регіонів з великою кількістю ВП</w:t>
      </w:r>
      <w:r w:rsidR="00C234F8" w:rsidRPr="00B77B5A">
        <w:rPr>
          <w:rFonts w:asciiTheme="majorHAnsi" w:hAnsiTheme="majorHAnsi"/>
          <w:sz w:val="24"/>
          <w:lang w:val="uk-UA"/>
        </w:rPr>
        <w:t xml:space="preserve">О, конкурс з </w:t>
      </w:r>
      <w:proofErr w:type="spellStart"/>
      <w:r w:rsidR="00C234F8" w:rsidRPr="00B77B5A">
        <w:rPr>
          <w:rFonts w:asciiTheme="majorHAnsi" w:hAnsiTheme="majorHAnsi"/>
          <w:sz w:val="24"/>
          <w:lang w:val="uk-UA"/>
        </w:rPr>
        <w:t>мікро-грантування</w:t>
      </w:r>
      <w:proofErr w:type="spellEnd"/>
      <w:r w:rsidRPr="00B77B5A">
        <w:rPr>
          <w:rFonts w:asciiTheme="majorHAnsi" w:hAnsiTheme="majorHAnsi"/>
          <w:sz w:val="24"/>
          <w:lang w:val="uk-UA"/>
        </w:rPr>
        <w:t xml:space="preserve"> проект</w:t>
      </w:r>
      <w:r w:rsidR="00C80BF7" w:rsidRPr="00B77B5A">
        <w:rPr>
          <w:rFonts w:asciiTheme="majorHAnsi" w:hAnsiTheme="majorHAnsi"/>
          <w:sz w:val="24"/>
          <w:lang w:val="uk-UA"/>
        </w:rPr>
        <w:t>ів</w:t>
      </w:r>
      <w:r w:rsidRPr="00B77B5A">
        <w:rPr>
          <w:rFonts w:asciiTheme="majorHAnsi" w:hAnsiTheme="majorHAnsi"/>
          <w:sz w:val="24"/>
          <w:lang w:val="uk-UA"/>
        </w:rPr>
        <w:t xml:space="preserve"> студен</w:t>
      </w:r>
      <w:r w:rsidR="00C80BF7" w:rsidRPr="00B77B5A">
        <w:rPr>
          <w:rFonts w:asciiTheme="majorHAnsi" w:hAnsiTheme="majorHAnsi"/>
          <w:sz w:val="24"/>
          <w:lang w:val="uk-UA"/>
        </w:rPr>
        <w:t xml:space="preserve">тської молоді </w:t>
      </w:r>
      <w:r w:rsidRPr="00B77B5A">
        <w:rPr>
          <w:rFonts w:asciiTheme="majorHAnsi" w:hAnsiTheme="majorHAnsi"/>
          <w:sz w:val="24"/>
          <w:lang w:val="uk-UA"/>
        </w:rPr>
        <w:t>України в реалізації культурно-інформаційних та соціальних проектів. Спрямованість проектів - розвиток взаєморозуміння і співпраці у спільних діях студент</w:t>
      </w:r>
      <w:r w:rsidR="00C80BF7" w:rsidRPr="00B77B5A">
        <w:rPr>
          <w:rFonts w:asciiTheme="majorHAnsi" w:hAnsiTheme="majorHAnsi"/>
          <w:sz w:val="24"/>
          <w:lang w:val="uk-UA"/>
        </w:rPr>
        <w:t>ів</w:t>
      </w:r>
      <w:r w:rsidRPr="00B77B5A">
        <w:rPr>
          <w:rFonts w:asciiTheme="majorHAnsi" w:hAnsiTheme="majorHAnsi"/>
          <w:sz w:val="24"/>
          <w:lang w:val="uk-UA"/>
        </w:rPr>
        <w:t xml:space="preserve"> (включаючи представників ВПО). Для посилення соціального ефекту конкурсу, запропонувати </w:t>
      </w:r>
      <w:r w:rsidR="00C80BF7" w:rsidRPr="00B77B5A">
        <w:rPr>
          <w:rFonts w:asciiTheme="majorHAnsi" w:hAnsiTheme="majorHAnsi"/>
          <w:sz w:val="24"/>
          <w:lang w:val="uk-UA"/>
        </w:rPr>
        <w:t>місцевим</w:t>
      </w:r>
      <w:r w:rsidRPr="00B77B5A">
        <w:rPr>
          <w:rFonts w:asciiTheme="majorHAnsi" w:hAnsiTheme="majorHAnsi"/>
          <w:sz w:val="24"/>
          <w:lang w:val="uk-UA"/>
        </w:rPr>
        <w:t xml:space="preserve"> НГО проводити тренінги за методом соціальної мобілізації виховання взаємоповаги серед спільноти</w:t>
      </w:r>
      <w:r w:rsidR="00425B03" w:rsidRPr="00B77B5A">
        <w:rPr>
          <w:rFonts w:asciiTheme="majorHAnsi" w:hAnsiTheme="majorHAnsi"/>
          <w:sz w:val="24"/>
          <w:lang w:val="uk-UA"/>
        </w:rPr>
        <w:t xml:space="preserve"> студентів</w:t>
      </w:r>
      <w:r w:rsidRPr="00B77B5A">
        <w:rPr>
          <w:rFonts w:asciiTheme="majorHAnsi" w:hAnsiTheme="majorHAnsi"/>
          <w:sz w:val="24"/>
          <w:lang w:val="uk-UA"/>
        </w:rPr>
        <w:t>.</w:t>
      </w:r>
    </w:p>
    <w:p w:rsidR="00012395" w:rsidRPr="00B77B5A" w:rsidRDefault="00C80BF7" w:rsidP="00B77B5A">
      <w:pPr>
        <w:pStyle w:val="a3"/>
        <w:numPr>
          <w:ilvl w:val="0"/>
          <w:numId w:val="15"/>
        </w:numPr>
        <w:tabs>
          <w:tab w:val="left" w:pos="426"/>
        </w:tabs>
        <w:spacing w:after="120"/>
        <w:ind w:left="426" w:hanging="426"/>
        <w:contextualSpacing w:val="0"/>
        <w:jc w:val="both"/>
        <w:rPr>
          <w:sz w:val="24"/>
          <w:lang w:val="uk-UA"/>
        </w:rPr>
      </w:pPr>
      <w:r w:rsidRPr="00B77B5A">
        <w:rPr>
          <w:rFonts w:asciiTheme="majorHAnsi" w:hAnsiTheme="majorHAnsi"/>
          <w:sz w:val="24"/>
          <w:lang w:val="uk-UA"/>
        </w:rPr>
        <w:t xml:space="preserve">Провести діяльність МОН України у питаннях ВПО в формат Стратегії та відповідного Плану заходів із зазначенням періодичності і необхідних ресурсів. Провести переговори з представниками міжнародних програм зі співробітництва у вирішенні проблем студентів з числа ВПО. </w:t>
      </w:r>
    </w:p>
    <w:sectPr w:rsidR="00012395" w:rsidRPr="00B77B5A" w:rsidSect="0004715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B7F" w:rsidRDefault="00001B7F" w:rsidP="00276C57">
      <w:pPr>
        <w:spacing w:after="0" w:line="240" w:lineRule="auto"/>
      </w:pPr>
      <w:r>
        <w:separator/>
      </w:r>
    </w:p>
  </w:endnote>
  <w:endnote w:type="continuationSeparator" w:id="0">
    <w:p w:rsidR="00001B7F" w:rsidRDefault="00001B7F" w:rsidP="00276C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B7F" w:rsidRDefault="00001B7F" w:rsidP="00276C57">
      <w:pPr>
        <w:spacing w:after="0" w:line="240" w:lineRule="auto"/>
      </w:pPr>
      <w:r>
        <w:separator/>
      </w:r>
    </w:p>
  </w:footnote>
  <w:footnote w:type="continuationSeparator" w:id="0">
    <w:p w:rsidR="00001B7F" w:rsidRDefault="00001B7F" w:rsidP="00276C57">
      <w:pPr>
        <w:spacing w:after="0" w:line="240" w:lineRule="auto"/>
      </w:pPr>
      <w:r>
        <w:continuationSeparator/>
      </w:r>
    </w:p>
  </w:footnote>
  <w:footnote w:id="1">
    <w:p w:rsidR="003D176D" w:rsidRPr="00425B03" w:rsidRDefault="003D176D" w:rsidP="003D176D">
      <w:pPr>
        <w:pStyle w:val="a9"/>
        <w:shd w:val="clear" w:color="auto" w:fill="FFFFFF"/>
        <w:spacing w:before="0" w:beforeAutospacing="0" w:after="0" w:afterAutospacing="0" w:line="248" w:lineRule="atLeast"/>
        <w:jc w:val="both"/>
        <w:rPr>
          <w:rFonts w:asciiTheme="minorHAnsi" w:hAnsiTheme="minorHAnsi" w:cstheme="minorHAnsi"/>
          <w:color w:val="000000"/>
          <w:sz w:val="22"/>
          <w:szCs w:val="22"/>
        </w:rPr>
      </w:pPr>
      <w:r w:rsidRPr="00425B03">
        <w:rPr>
          <w:rStyle w:val="ac"/>
          <w:rFonts w:asciiTheme="minorHAnsi" w:hAnsiTheme="minorHAnsi" w:cstheme="minorHAnsi"/>
          <w:sz w:val="22"/>
          <w:szCs w:val="22"/>
        </w:rPr>
        <w:footnoteRef/>
      </w:r>
      <w:r w:rsidRPr="00425B03">
        <w:rPr>
          <w:rFonts w:asciiTheme="minorHAnsi" w:hAnsiTheme="minorHAnsi" w:cstheme="minorHAnsi"/>
          <w:sz w:val="22"/>
          <w:szCs w:val="22"/>
        </w:rPr>
        <w:t xml:space="preserve"> </w:t>
      </w:r>
      <w:proofErr w:type="spellStart"/>
      <w:proofErr w:type="gramStart"/>
      <w:r w:rsidRPr="00425B03">
        <w:rPr>
          <w:rFonts w:asciiTheme="minorHAnsi" w:hAnsiTheme="minorHAnsi" w:cstheme="minorHAnsi"/>
          <w:color w:val="000000"/>
          <w:sz w:val="22"/>
          <w:szCs w:val="22"/>
        </w:rPr>
        <w:t>Найбільше</w:t>
      </w:r>
      <w:proofErr w:type="spellEnd"/>
      <w:r w:rsidRPr="00425B03">
        <w:rPr>
          <w:rFonts w:asciiTheme="minorHAnsi" w:hAnsiTheme="minorHAnsi" w:cstheme="minorHAnsi"/>
          <w:color w:val="000000"/>
          <w:sz w:val="22"/>
          <w:szCs w:val="22"/>
        </w:rPr>
        <w:t xml:space="preserve"> </w:t>
      </w:r>
      <w:proofErr w:type="spellStart"/>
      <w:r w:rsidRPr="00425B03">
        <w:rPr>
          <w:rFonts w:asciiTheme="minorHAnsi" w:hAnsiTheme="minorHAnsi" w:cstheme="minorHAnsi"/>
          <w:color w:val="000000"/>
          <w:sz w:val="22"/>
          <w:szCs w:val="22"/>
        </w:rPr>
        <w:t>внутрішньо</w:t>
      </w:r>
      <w:proofErr w:type="spellEnd"/>
      <w:r w:rsidRPr="00425B03">
        <w:rPr>
          <w:rFonts w:asciiTheme="minorHAnsi" w:hAnsiTheme="minorHAnsi" w:cstheme="minorHAnsi"/>
          <w:color w:val="000000"/>
          <w:sz w:val="22"/>
          <w:szCs w:val="22"/>
        </w:rPr>
        <w:t xml:space="preserve"> </w:t>
      </w:r>
      <w:proofErr w:type="spellStart"/>
      <w:r w:rsidRPr="00425B03">
        <w:rPr>
          <w:rFonts w:asciiTheme="minorHAnsi" w:hAnsiTheme="minorHAnsi" w:cstheme="minorHAnsi"/>
          <w:color w:val="000000"/>
          <w:sz w:val="22"/>
          <w:szCs w:val="22"/>
        </w:rPr>
        <w:t>переміщених</w:t>
      </w:r>
      <w:proofErr w:type="spellEnd"/>
      <w:r w:rsidRPr="00425B03">
        <w:rPr>
          <w:rFonts w:asciiTheme="minorHAnsi" w:hAnsiTheme="minorHAnsi" w:cstheme="minorHAnsi"/>
          <w:color w:val="000000"/>
          <w:sz w:val="22"/>
          <w:szCs w:val="22"/>
        </w:rPr>
        <w:t xml:space="preserve"> </w:t>
      </w:r>
      <w:proofErr w:type="spellStart"/>
      <w:r w:rsidRPr="00425B03">
        <w:rPr>
          <w:rFonts w:asciiTheme="minorHAnsi" w:hAnsiTheme="minorHAnsi" w:cstheme="minorHAnsi"/>
          <w:color w:val="000000"/>
          <w:sz w:val="22"/>
          <w:szCs w:val="22"/>
        </w:rPr>
        <w:t>осіб</w:t>
      </w:r>
      <w:proofErr w:type="spellEnd"/>
      <w:r w:rsidRPr="00425B03">
        <w:rPr>
          <w:rFonts w:asciiTheme="minorHAnsi" w:hAnsiTheme="minorHAnsi" w:cstheme="minorHAnsi"/>
          <w:color w:val="000000"/>
          <w:sz w:val="22"/>
          <w:szCs w:val="22"/>
        </w:rPr>
        <w:t xml:space="preserve"> </w:t>
      </w:r>
      <w:proofErr w:type="spellStart"/>
      <w:r w:rsidRPr="00425B03">
        <w:rPr>
          <w:rFonts w:asciiTheme="minorHAnsi" w:hAnsiTheme="minorHAnsi" w:cstheme="minorHAnsi"/>
          <w:color w:val="000000"/>
          <w:sz w:val="22"/>
          <w:szCs w:val="22"/>
        </w:rPr>
        <w:t>розміщено</w:t>
      </w:r>
      <w:proofErr w:type="spellEnd"/>
      <w:r w:rsidRPr="00425B03">
        <w:rPr>
          <w:rFonts w:asciiTheme="minorHAnsi" w:hAnsiTheme="minorHAnsi" w:cstheme="minorHAnsi"/>
          <w:color w:val="000000"/>
          <w:sz w:val="22"/>
          <w:szCs w:val="22"/>
        </w:rPr>
        <w:t xml:space="preserve"> у </w:t>
      </w:r>
      <w:proofErr w:type="spellStart"/>
      <w:r w:rsidRPr="00425B03">
        <w:rPr>
          <w:rFonts w:asciiTheme="minorHAnsi" w:hAnsiTheme="minorHAnsi" w:cstheme="minorHAnsi"/>
          <w:color w:val="000000"/>
          <w:sz w:val="22"/>
          <w:szCs w:val="22"/>
        </w:rPr>
        <w:t>Луганській</w:t>
      </w:r>
      <w:proofErr w:type="spellEnd"/>
      <w:r w:rsidRPr="00425B03">
        <w:rPr>
          <w:rFonts w:asciiTheme="minorHAnsi" w:hAnsiTheme="minorHAnsi" w:cstheme="minorHAnsi"/>
          <w:color w:val="000000"/>
          <w:sz w:val="22"/>
          <w:szCs w:val="22"/>
        </w:rPr>
        <w:t xml:space="preserve"> (162 тис. 13 </w:t>
      </w:r>
      <w:proofErr w:type="spellStart"/>
      <w:r w:rsidRPr="00425B03">
        <w:rPr>
          <w:rFonts w:asciiTheme="minorHAnsi" w:hAnsiTheme="minorHAnsi" w:cstheme="minorHAnsi"/>
          <w:color w:val="000000"/>
          <w:sz w:val="22"/>
          <w:szCs w:val="22"/>
        </w:rPr>
        <w:t>осіб</w:t>
      </w:r>
      <w:proofErr w:type="spellEnd"/>
      <w:r w:rsidRPr="00425B03">
        <w:rPr>
          <w:rFonts w:asciiTheme="minorHAnsi" w:hAnsiTheme="minorHAnsi" w:cstheme="minorHAnsi"/>
          <w:color w:val="000000"/>
          <w:sz w:val="22"/>
          <w:szCs w:val="22"/>
        </w:rPr>
        <w:t xml:space="preserve">, </w:t>
      </w:r>
      <w:proofErr w:type="spellStart"/>
      <w:r w:rsidRPr="00425B03">
        <w:rPr>
          <w:rFonts w:asciiTheme="minorHAnsi" w:hAnsiTheme="minorHAnsi" w:cstheme="minorHAnsi"/>
          <w:color w:val="000000"/>
          <w:sz w:val="22"/>
          <w:szCs w:val="22"/>
        </w:rPr>
        <w:t>з</w:t>
      </w:r>
      <w:proofErr w:type="spellEnd"/>
      <w:r w:rsidRPr="00425B03">
        <w:rPr>
          <w:rFonts w:asciiTheme="minorHAnsi" w:hAnsiTheme="minorHAnsi" w:cstheme="minorHAnsi"/>
          <w:color w:val="000000"/>
          <w:sz w:val="22"/>
          <w:szCs w:val="22"/>
        </w:rPr>
        <w:t xml:space="preserve"> них – </w:t>
      </w:r>
      <w:r w:rsidRPr="00425B03">
        <w:rPr>
          <w:rFonts w:asciiTheme="minorHAnsi" w:hAnsiTheme="minorHAnsi" w:cstheme="minorHAnsi"/>
          <w:b/>
          <w:color w:val="000000"/>
          <w:sz w:val="22"/>
          <w:szCs w:val="22"/>
        </w:rPr>
        <w:t xml:space="preserve">12 тис. 574 </w:t>
      </w:r>
      <w:proofErr w:type="spellStart"/>
      <w:r w:rsidRPr="00425B03">
        <w:rPr>
          <w:rFonts w:asciiTheme="minorHAnsi" w:hAnsiTheme="minorHAnsi" w:cstheme="minorHAnsi"/>
          <w:b/>
          <w:color w:val="000000"/>
          <w:sz w:val="22"/>
          <w:szCs w:val="22"/>
        </w:rPr>
        <w:t>дітей</w:t>
      </w:r>
      <w:proofErr w:type="spellEnd"/>
      <w:r w:rsidRPr="00425B03">
        <w:rPr>
          <w:rFonts w:asciiTheme="minorHAnsi" w:hAnsiTheme="minorHAnsi" w:cstheme="minorHAnsi"/>
          <w:color w:val="000000"/>
          <w:sz w:val="22"/>
          <w:szCs w:val="22"/>
        </w:rPr>
        <w:t xml:space="preserve">), </w:t>
      </w:r>
      <w:proofErr w:type="spellStart"/>
      <w:r w:rsidRPr="00425B03">
        <w:rPr>
          <w:rFonts w:asciiTheme="minorHAnsi" w:hAnsiTheme="minorHAnsi" w:cstheme="minorHAnsi"/>
          <w:color w:val="000000"/>
          <w:sz w:val="22"/>
          <w:szCs w:val="22"/>
        </w:rPr>
        <w:t>Харківській</w:t>
      </w:r>
      <w:proofErr w:type="spellEnd"/>
      <w:r w:rsidRPr="00425B03">
        <w:rPr>
          <w:rFonts w:asciiTheme="minorHAnsi" w:hAnsiTheme="minorHAnsi" w:cstheme="minorHAnsi"/>
          <w:color w:val="000000"/>
          <w:sz w:val="22"/>
          <w:szCs w:val="22"/>
        </w:rPr>
        <w:t xml:space="preserve"> (161 тис. 771 особа, з них – </w:t>
      </w:r>
      <w:r w:rsidRPr="00425B03">
        <w:rPr>
          <w:rFonts w:asciiTheme="minorHAnsi" w:hAnsiTheme="minorHAnsi" w:cstheme="minorHAnsi"/>
          <w:b/>
          <w:color w:val="000000"/>
          <w:sz w:val="22"/>
          <w:szCs w:val="22"/>
        </w:rPr>
        <w:t xml:space="preserve">17 тис. 783 </w:t>
      </w:r>
      <w:proofErr w:type="spellStart"/>
      <w:r w:rsidRPr="00425B03">
        <w:rPr>
          <w:rFonts w:asciiTheme="minorHAnsi" w:hAnsiTheme="minorHAnsi" w:cstheme="minorHAnsi"/>
          <w:b/>
          <w:color w:val="000000"/>
          <w:sz w:val="22"/>
          <w:szCs w:val="22"/>
        </w:rPr>
        <w:t>дитини</w:t>
      </w:r>
      <w:proofErr w:type="spellEnd"/>
      <w:r w:rsidRPr="00425B03">
        <w:rPr>
          <w:rFonts w:asciiTheme="minorHAnsi" w:hAnsiTheme="minorHAnsi" w:cstheme="minorHAnsi"/>
          <w:color w:val="000000"/>
          <w:sz w:val="22"/>
          <w:szCs w:val="22"/>
        </w:rPr>
        <w:t xml:space="preserve">), </w:t>
      </w:r>
      <w:proofErr w:type="spellStart"/>
      <w:r w:rsidRPr="00425B03">
        <w:rPr>
          <w:rFonts w:asciiTheme="minorHAnsi" w:hAnsiTheme="minorHAnsi" w:cstheme="minorHAnsi"/>
          <w:color w:val="000000"/>
          <w:sz w:val="22"/>
          <w:szCs w:val="22"/>
        </w:rPr>
        <w:t>Донецькій</w:t>
      </w:r>
      <w:proofErr w:type="spellEnd"/>
      <w:r w:rsidRPr="00425B03">
        <w:rPr>
          <w:rFonts w:asciiTheme="minorHAnsi" w:hAnsiTheme="minorHAnsi" w:cstheme="minorHAnsi"/>
          <w:color w:val="000000"/>
          <w:sz w:val="22"/>
          <w:szCs w:val="22"/>
        </w:rPr>
        <w:t xml:space="preserve"> (106 тис. 983 особи, з них – </w:t>
      </w:r>
      <w:r w:rsidRPr="00425B03">
        <w:rPr>
          <w:rFonts w:asciiTheme="minorHAnsi" w:hAnsiTheme="minorHAnsi" w:cstheme="minorHAnsi"/>
          <w:b/>
          <w:color w:val="000000"/>
          <w:sz w:val="22"/>
          <w:szCs w:val="22"/>
        </w:rPr>
        <w:t xml:space="preserve">22 тис. 310 </w:t>
      </w:r>
      <w:proofErr w:type="spellStart"/>
      <w:r w:rsidRPr="00425B03">
        <w:rPr>
          <w:rFonts w:asciiTheme="minorHAnsi" w:hAnsiTheme="minorHAnsi" w:cstheme="minorHAnsi"/>
          <w:b/>
          <w:color w:val="000000"/>
          <w:sz w:val="22"/>
          <w:szCs w:val="22"/>
        </w:rPr>
        <w:t>дітей</w:t>
      </w:r>
      <w:proofErr w:type="spellEnd"/>
      <w:r w:rsidRPr="00425B03">
        <w:rPr>
          <w:rFonts w:asciiTheme="minorHAnsi" w:hAnsiTheme="minorHAnsi" w:cstheme="minorHAnsi"/>
          <w:color w:val="000000"/>
          <w:sz w:val="22"/>
          <w:szCs w:val="22"/>
        </w:rPr>
        <w:t xml:space="preserve">), </w:t>
      </w:r>
      <w:proofErr w:type="spellStart"/>
      <w:r w:rsidRPr="00425B03">
        <w:rPr>
          <w:rFonts w:asciiTheme="minorHAnsi" w:hAnsiTheme="minorHAnsi" w:cstheme="minorHAnsi"/>
          <w:color w:val="000000"/>
          <w:sz w:val="22"/>
          <w:szCs w:val="22"/>
        </w:rPr>
        <w:t>Дніпропетровській</w:t>
      </w:r>
      <w:proofErr w:type="spellEnd"/>
      <w:r w:rsidRPr="00425B03">
        <w:rPr>
          <w:rFonts w:asciiTheme="minorHAnsi" w:hAnsiTheme="minorHAnsi" w:cstheme="minorHAnsi"/>
          <w:color w:val="000000"/>
          <w:sz w:val="22"/>
          <w:szCs w:val="22"/>
        </w:rPr>
        <w:t xml:space="preserve"> (83 тис. 120 </w:t>
      </w:r>
      <w:proofErr w:type="spellStart"/>
      <w:r w:rsidRPr="00425B03">
        <w:rPr>
          <w:rFonts w:asciiTheme="minorHAnsi" w:hAnsiTheme="minorHAnsi" w:cstheme="minorHAnsi"/>
          <w:color w:val="000000"/>
          <w:sz w:val="22"/>
          <w:szCs w:val="22"/>
        </w:rPr>
        <w:t>осіб</w:t>
      </w:r>
      <w:proofErr w:type="spellEnd"/>
      <w:r w:rsidRPr="00425B03">
        <w:rPr>
          <w:rFonts w:asciiTheme="minorHAnsi" w:hAnsiTheme="minorHAnsi" w:cstheme="minorHAnsi"/>
          <w:color w:val="000000"/>
          <w:sz w:val="22"/>
          <w:szCs w:val="22"/>
        </w:rPr>
        <w:t xml:space="preserve">, </w:t>
      </w:r>
      <w:proofErr w:type="spellStart"/>
      <w:r w:rsidRPr="00425B03">
        <w:rPr>
          <w:rFonts w:asciiTheme="minorHAnsi" w:hAnsiTheme="minorHAnsi" w:cstheme="minorHAnsi"/>
          <w:color w:val="000000"/>
          <w:sz w:val="22"/>
          <w:szCs w:val="22"/>
        </w:rPr>
        <w:t>з</w:t>
      </w:r>
      <w:proofErr w:type="spellEnd"/>
      <w:proofErr w:type="gramEnd"/>
      <w:r w:rsidRPr="00425B03">
        <w:rPr>
          <w:rFonts w:asciiTheme="minorHAnsi" w:hAnsiTheme="minorHAnsi" w:cstheme="minorHAnsi"/>
          <w:color w:val="000000"/>
          <w:sz w:val="22"/>
          <w:szCs w:val="22"/>
        </w:rPr>
        <w:t xml:space="preserve"> </w:t>
      </w:r>
      <w:proofErr w:type="gramStart"/>
      <w:r w:rsidRPr="00425B03">
        <w:rPr>
          <w:rFonts w:asciiTheme="minorHAnsi" w:hAnsiTheme="minorHAnsi" w:cstheme="minorHAnsi"/>
          <w:color w:val="000000"/>
          <w:sz w:val="22"/>
          <w:szCs w:val="22"/>
        </w:rPr>
        <w:t xml:space="preserve">них – </w:t>
      </w:r>
      <w:r w:rsidRPr="00425B03">
        <w:rPr>
          <w:rFonts w:asciiTheme="minorHAnsi" w:hAnsiTheme="minorHAnsi" w:cstheme="minorHAnsi"/>
          <w:b/>
          <w:color w:val="000000"/>
          <w:sz w:val="22"/>
          <w:szCs w:val="22"/>
        </w:rPr>
        <w:t xml:space="preserve">15 тис. 575 </w:t>
      </w:r>
      <w:proofErr w:type="spellStart"/>
      <w:r w:rsidRPr="00425B03">
        <w:rPr>
          <w:rFonts w:asciiTheme="minorHAnsi" w:hAnsiTheme="minorHAnsi" w:cstheme="minorHAnsi"/>
          <w:b/>
          <w:color w:val="000000"/>
          <w:sz w:val="22"/>
          <w:szCs w:val="22"/>
        </w:rPr>
        <w:t>дітей</w:t>
      </w:r>
      <w:proofErr w:type="spellEnd"/>
      <w:r w:rsidRPr="00425B03">
        <w:rPr>
          <w:rFonts w:asciiTheme="minorHAnsi" w:hAnsiTheme="minorHAnsi" w:cstheme="minorHAnsi"/>
          <w:color w:val="000000"/>
          <w:sz w:val="22"/>
          <w:szCs w:val="22"/>
        </w:rPr>
        <w:t xml:space="preserve">), </w:t>
      </w:r>
      <w:proofErr w:type="spellStart"/>
      <w:r w:rsidRPr="00425B03">
        <w:rPr>
          <w:rFonts w:asciiTheme="minorHAnsi" w:hAnsiTheme="minorHAnsi" w:cstheme="minorHAnsi"/>
          <w:color w:val="000000"/>
          <w:sz w:val="22"/>
          <w:szCs w:val="22"/>
        </w:rPr>
        <w:t>Запорізькій</w:t>
      </w:r>
      <w:proofErr w:type="spellEnd"/>
      <w:r w:rsidRPr="00425B03">
        <w:rPr>
          <w:rFonts w:asciiTheme="minorHAnsi" w:hAnsiTheme="minorHAnsi" w:cstheme="minorHAnsi"/>
          <w:color w:val="000000"/>
          <w:sz w:val="22"/>
          <w:szCs w:val="22"/>
        </w:rPr>
        <w:t xml:space="preserve"> (61 тис. 861 особа, з них – </w:t>
      </w:r>
      <w:r w:rsidRPr="00425B03">
        <w:rPr>
          <w:rFonts w:asciiTheme="minorHAnsi" w:hAnsiTheme="minorHAnsi" w:cstheme="minorHAnsi"/>
          <w:b/>
          <w:color w:val="000000"/>
          <w:sz w:val="22"/>
          <w:szCs w:val="22"/>
        </w:rPr>
        <w:t xml:space="preserve">15 тис. 459 </w:t>
      </w:r>
      <w:proofErr w:type="spellStart"/>
      <w:r w:rsidRPr="00425B03">
        <w:rPr>
          <w:rFonts w:asciiTheme="minorHAnsi" w:hAnsiTheme="minorHAnsi" w:cstheme="minorHAnsi"/>
          <w:b/>
          <w:color w:val="000000"/>
          <w:sz w:val="22"/>
          <w:szCs w:val="22"/>
        </w:rPr>
        <w:t>дітей</w:t>
      </w:r>
      <w:proofErr w:type="spellEnd"/>
      <w:r w:rsidRPr="00425B03">
        <w:rPr>
          <w:rFonts w:asciiTheme="minorHAnsi" w:hAnsiTheme="minorHAnsi" w:cstheme="minorHAnsi"/>
          <w:color w:val="000000"/>
          <w:sz w:val="22"/>
          <w:szCs w:val="22"/>
        </w:rPr>
        <w:t xml:space="preserve">), </w:t>
      </w:r>
      <w:proofErr w:type="spellStart"/>
      <w:r w:rsidRPr="00425B03">
        <w:rPr>
          <w:rFonts w:asciiTheme="minorHAnsi" w:hAnsiTheme="minorHAnsi" w:cstheme="minorHAnsi"/>
          <w:color w:val="000000"/>
          <w:sz w:val="22"/>
          <w:szCs w:val="22"/>
        </w:rPr>
        <w:t>Київській</w:t>
      </w:r>
      <w:proofErr w:type="spellEnd"/>
      <w:r w:rsidRPr="00425B03">
        <w:rPr>
          <w:rFonts w:asciiTheme="minorHAnsi" w:hAnsiTheme="minorHAnsi" w:cstheme="minorHAnsi"/>
          <w:color w:val="000000"/>
          <w:sz w:val="22"/>
          <w:szCs w:val="22"/>
        </w:rPr>
        <w:t xml:space="preserve"> (37 тис. 890 </w:t>
      </w:r>
      <w:proofErr w:type="spellStart"/>
      <w:r w:rsidRPr="00425B03">
        <w:rPr>
          <w:rFonts w:asciiTheme="minorHAnsi" w:hAnsiTheme="minorHAnsi" w:cstheme="minorHAnsi"/>
          <w:color w:val="000000"/>
          <w:sz w:val="22"/>
          <w:szCs w:val="22"/>
        </w:rPr>
        <w:t>осіб</w:t>
      </w:r>
      <w:proofErr w:type="spellEnd"/>
      <w:r w:rsidRPr="00425B03">
        <w:rPr>
          <w:rFonts w:asciiTheme="minorHAnsi" w:hAnsiTheme="minorHAnsi" w:cstheme="minorHAnsi"/>
          <w:color w:val="000000"/>
          <w:sz w:val="22"/>
          <w:szCs w:val="22"/>
        </w:rPr>
        <w:t xml:space="preserve">, </w:t>
      </w:r>
      <w:proofErr w:type="spellStart"/>
      <w:r w:rsidRPr="00425B03">
        <w:rPr>
          <w:rFonts w:asciiTheme="minorHAnsi" w:hAnsiTheme="minorHAnsi" w:cstheme="minorHAnsi"/>
          <w:color w:val="000000"/>
          <w:sz w:val="22"/>
          <w:szCs w:val="22"/>
        </w:rPr>
        <w:t>з</w:t>
      </w:r>
      <w:proofErr w:type="spellEnd"/>
      <w:r w:rsidRPr="00425B03">
        <w:rPr>
          <w:rFonts w:asciiTheme="minorHAnsi" w:hAnsiTheme="minorHAnsi" w:cstheme="minorHAnsi"/>
          <w:color w:val="000000"/>
          <w:sz w:val="22"/>
          <w:szCs w:val="22"/>
        </w:rPr>
        <w:t xml:space="preserve"> них – </w:t>
      </w:r>
      <w:r w:rsidRPr="00425B03">
        <w:rPr>
          <w:rFonts w:asciiTheme="minorHAnsi" w:hAnsiTheme="minorHAnsi" w:cstheme="minorHAnsi"/>
          <w:b/>
          <w:color w:val="000000"/>
          <w:sz w:val="22"/>
          <w:szCs w:val="22"/>
        </w:rPr>
        <w:t xml:space="preserve">8 тис. 623 </w:t>
      </w:r>
      <w:proofErr w:type="spellStart"/>
      <w:r w:rsidRPr="00425B03">
        <w:rPr>
          <w:rFonts w:asciiTheme="minorHAnsi" w:hAnsiTheme="minorHAnsi" w:cstheme="minorHAnsi"/>
          <w:b/>
          <w:color w:val="000000"/>
          <w:sz w:val="22"/>
          <w:szCs w:val="22"/>
        </w:rPr>
        <w:t>дитини</w:t>
      </w:r>
      <w:proofErr w:type="spellEnd"/>
      <w:r w:rsidRPr="00425B03">
        <w:rPr>
          <w:rFonts w:asciiTheme="minorHAnsi" w:hAnsiTheme="minorHAnsi" w:cstheme="minorHAnsi"/>
          <w:color w:val="000000"/>
          <w:sz w:val="22"/>
          <w:szCs w:val="22"/>
        </w:rPr>
        <w:t xml:space="preserve">) областях та у м. </w:t>
      </w:r>
      <w:proofErr w:type="spellStart"/>
      <w:r w:rsidRPr="00425B03">
        <w:rPr>
          <w:rFonts w:asciiTheme="minorHAnsi" w:hAnsiTheme="minorHAnsi" w:cstheme="minorHAnsi"/>
          <w:color w:val="000000"/>
          <w:sz w:val="22"/>
          <w:szCs w:val="22"/>
        </w:rPr>
        <w:t>Київ</w:t>
      </w:r>
      <w:proofErr w:type="spellEnd"/>
      <w:r w:rsidRPr="00425B03">
        <w:rPr>
          <w:rFonts w:asciiTheme="minorHAnsi" w:hAnsiTheme="minorHAnsi" w:cstheme="minorHAnsi"/>
          <w:color w:val="000000"/>
          <w:sz w:val="22"/>
          <w:szCs w:val="22"/>
        </w:rPr>
        <w:t xml:space="preserve"> (39 тис. 47 </w:t>
      </w:r>
      <w:proofErr w:type="spellStart"/>
      <w:r w:rsidRPr="00425B03">
        <w:rPr>
          <w:rFonts w:asciiTheme="minorHAnsi" w:hAnsiTheme="minorHAnsi" w:cstheme="minorHAnsi"/>
          <w:color w:val="000000"/>
          <w:sz w:val="22"/>
          <w:szCs w:val="22"/>
        </w:rPr>
        <w:t>осіб</w:t>
      </w:r>
      <w:proofErr w:type="spellEnd"/>
      <w:r w:rsidRPr="00425B03">
        <w:rPr>
          <w:rFonts w:asciiTheme="minorHAnsi" w:hAnsiTheme="minorHAnsi" w:cstheme="minorHAnsi"/>
          <w:color w:val="000000"/>
          <w:sz w:val="22"/>
          <w:szCs w:val="22"/>
        </w:rPr>
        <w:t xml:space="preserve">, </w:t>
      </w:r>
      <w:proofErr w:type="spellStart"/>
      <w:r w:rsidRPr="00425B03">
        <w:rPr>
          <w:rFonts w:asciiTheme="minorHAnsi" w:hAnsiTheme="minorHAnsi" w:cstheme="minorHAnsi"/>
          <w:color w:val="000000"/>
          <w:sz w:val="22"/>
          <w:szCs w:val="22"/>
        </w:rPr>
        <w:t>з</w:t>
      </w:r>
      <w:proofErr w:type="spellEnd"/>
      <w:r w:rsidRPr="00425B03">
        <w:rPr>
          <w:rFonts w:asciiTheme="minorHAnsi" w:hAnsiTheme="minorHAnsi" w:cstheme="minorHAnsi"/>
          <w:color w:val="000000"/>
          <w:sz w:val="22"/>
          <w:szCs w:val="22"/>
        </w:rPr>
        <w:t xml:space="preserve"> них – </w:t>
      </w:r>
      <w:r w:rsidRPr="00425B03">
        <w:rPr>
          <w:rFonts w:asciiTheme="minorHAnsi" w:hAnsiTheme="minorHAnsi" w:cstheme="minorHAnsi"/>
          <w:b/>
          <w:color w:val="000000"/>
          <w:sz w:val="22"/>
          <w:szCs w:val="22"/>
        </w:rPr>
        <w:t xml:space="preserve">10 тис. 181 </w:t>
      </w:r>
      <w:proofErr w:type="spellStart"/>
      <w:r w:rsidRPr="00425B03">
        <w:rPr>
          <w:rFonts w:asciiTheme="minorHAnsi" w:hAnsiTheme="minorHAnsi" w:cstheme="minorHAnsi"/>
          <w:b/>
          <w:color w:val="000000"/>
          <w:sz w:val="22"/>
          <w:szCs w:val="22"/>
        </w:rPr>
        <w:t>дитина</w:t>
      </w:r>
      <w:proofErr w:type="spellEnd"/>
      <w:r w:rsidRPr="00425B03">
        <w:rPr>
          <w:rFonts w:asciiTheme="minorHAnsi" w:hAnsiTheme="minorHAnsi" w:cstheme="minorHAnsi"/>
          <w:color w:val="000000"/>
          <w:sz w:val="22"/>
          <w:szCs w:val="22"/>
        </w:rPr>
        <w:t>).</w:t>
      </w:r>
      <w:proofErr w:type="gramEnd"/>
      <w:r w:rsidRPr="00425B03">
        <w:rPr>
          <w:rFonts w:asciiTheme="minorHAnsi" w:hAnsiTheme="minorHAnsi" w:cstheme="minorHAnsi"/>
          <w:color w:val="000000"/>
          <w:sz w:val="22"/>
          <w:szCs w:val="22"/>
        </w:rPr>
        <w:t xml:space="preserve"> </w:t>
      </w:r>
      <w:proofErr w:type="spellStart"/>
      <w:r w:rsidRPr="00425B03">
        <w:rPr>
          <w:rFonts w:asciiTheme="minorHAnsi" w:hAnsiTheme="minorHAnsi" w:cstheme="minorHAnsi"/>
          <w:color w:val="000000"/>
          <w:sz w:val="22"/>
          <w:szCs w:val="22"/>
        </w:rPr>
        <w:t>Найменша</w:t>
      </w:r>
      <w:proofErr w:type="spellEnd"/>
      <w:r w:rsidRPr="00425B03">
        <w:rPr>
          <w:rFonts w:asciiTheme="minorHAnsi" w:hAnsiTheme="minorHAnsi" w:cstheme="minorHAnsi"/>
          <w:color w:val="000000"/>
          <w:sz w:val="22"/>
          <w:szCs w:val="22"/>
        </w:rPr>
        <w:t xml:space="preserve"> </w:t>
      </w:r>
      <w:proofErr w:type="spellStart"/>
      <w:r w:rsidRPr="00425B03">
        <w:rPr>
          <w:rFonts w:asciiTheme="minorHAnsi" w:hAnsiTheme="minorHAnsi" w:cstheme="minorHAnsi"/>
          <w:color w:val="000000"/>
          <w:sz w:val="22"/>
          <w:szCs w:val="22"/>
        </w:rPr>
        <w:t>кількість</w:t>
      </w:r>
      <w:proofErr w:type="spellEnd"/>
      <w:r w:rsidRPr="00425B03">
        <w:rPr>
          <w:rFonts w:asciiTheme="minorHAnsi" w:hAnsiTheme="minorHAnsi" w:cstheme="minorHAnsi"/>
          <w:color w:val="000000"/>
          <w:sz w:val="22"/>
          <w:szCs w:val="22"/>
        </w:rPr>
        <w:t xml:space="preserve"> </w:t>
      </w:r>
      <w:proofErr w:type="spellStart"/>
      <w:r w:rsidRPr="00425B03">
        <w:rPr>
          <w:rFonts w:asciiTheme="minorHAnsi" w:hAnsiTheme="minorHAnsi" w:cstheme="minorHAnsi"/>
          <w:color w:val="000000"/>
          <w:sz w:val="22"/>
          <w:szCs w:val="22"/>
        </w:rPr>
        <w:t>розселених</w:t>
      </w:r>
      <w:proofErr w:type="spellEnd"/>
      <w:r w:rsidRPr="00425B03">
        <w:rPr>
          <w:rFonts w:asciiTheme="minorHAnsi" w:hAnsiTheme="minorHAnsi" w:cstheme="minorHAnsi"/>
          <w:color w:val="000000"/>
          <w:sz w:val="22"/>
          <w:szCs w:val="22"/>
        </w:rPr>
        <w:t xml:space="preserve"> у </w:t>
      </w:r>
      <w:proofErr w:type="spellStart"/>
      <w:r w:rsidRPr="00425B03">
        <w:rPr>
          <w:rFonts w:asciiTheme="minorHAnsi" w:hAnsiTheme="minorHAnsi" w:cstheme="minorHAnsi"/>
          <w:color w:val="000000"/>
          <w:sz w:val="22"/>
          <w:szCs w:val="22"/>
        </w:rPr>
        <w:t>Тернопільській</w:t>
      </w:r>
      <w:proofErr w:type="spellEnd"/>
      <w:r w:rsidRPr="00425B03">
        <w:rPr>
          <w:rFonts w:asciiTheme="minorHAnsi" w:hAnsiTheme="minorHAnsi" w:cstheme="minorHAnsi"/>
          <w:color w:val="000000"/>
          <w:sz w:val="22"/>
          <w:szCs w:val="22"/>
        </w:rPr>
        <w:t xml:space="preserve"> (2 тис. 513 </w:t>
      </w:r>
      <w:proofErr w:type="spellStart"/>
      <w:r w:rsidRPr="00425B03">
        <w:rPr>
          <w:rFonts w:asciiTheme="minorHAnsi" w:hAnsiTheme="minorHAnsi" w:cstheme="minorHAnsi"/>
          <w:color w:val="000000"/>
          <w:sz w:val="22"/>
          <w:szCs w:val="22"/>
        </w:rPr>
        <w:t>осіб</w:t>
      </w:r>
      <w:proofErr w:type="spellEnd"/>
      <w:r w:rsidRPr="00425B03">
        <w:rPr>
          <w:rFonts w:asciiTheme="minorHAnsi" w:hAnsiTheme="minorHAnsi" w:cstheme="minorHAnsi"/>
          <w:color w:val="000000"/>
          <w:sz w:val="22"/>
          <w:szCs w:val="22"/>
        </w:rPr>
        <w:t xml:space="preserve">, </w:t>
      </w:r>
      <w:proofErr w:type="spellStart"/>
      <w:r w:rsidRPr="00425B03">
        <w:rPr>
          <w:rFonts w:asciiTheme="minorHAnsi" w:hAnsiTheme="minorHAnsi" w:cstheme="minorHAnsi"/>
          <w:color w:val="000000"/>
          <w:sz w:val="22"/>
          <w:szCs w:val="22"/>
        </w:rPr>
        <w:t>з</w:t>
      </w:r>
      <w:proofErr w:type="spellEnd"/>
      <w:r w:rsidRPr="00425B03">
        <w:rPr>
          <w:rFonts w:asciiTheme="minorHAnsi" w:hAnsiTheme="minorHAnsi" w:cstheme="minorHAnsi"/>
          <w:color w:val="000000"/>
          <w:sz w:val="22"/>
          <w:szCs w:val="22"/>
        </w:rPr>
        <w:t xml:space="preserve"> них – 647 </w:t>
      </w:r>
      <w:proofErr w:type="spellStart"/>
      <w:r w:rsidRPr="00425B03">
        <w:rPr>
          <w:rFonts w:asciiTheme="minorHAnsi" w:hAnsiTheme="minorHAnsi" w:cstheme="minorHAnsi"/>
          <w:color w:val="000000"/>
          <w:sz w:val="22"/>
          <w:szCs w:val="22"/>
        </w:rPr>
        <w:t>дітей</w:t>
      </w:r>
      <w:proofErr w:type="spellEnd"/>
      <w:r w:rsidRPr="00425B03">
        <w:rPr>
          <w:rFonts w:asciiTheme="minorHAnsi" w:hAnsiTheme="minorHAnsi" w:cstheme="minorHAnsi"/>
          <w:color w:val="000000"/>
          <w:sz w:val="22"/>
          <w:szCs w:val="22"/>
        </w:rPr>
        <w:t xml:space="preserve">), </w:t>
      </w:r>
      <w:proofErr w:type="spellStart"/>
      <w:r w:rsidRPr="00425B03">
        <w:rPr>
          <w:rFonts w:asciiTheme="minorHAnsi" w:hAnsiTheme="minorHAnsi" w:cstheme="minorHAnsi"/>
          <w:color w:val="000000"/>
          <w:sz w:val="22"/>
          <w:szCs w:val="22"/>
        </w:rPr>
        <w:t>Чернівецькій</w:t>
      </w:r>
      <w:proofErr w:type="spellEnd"/>
      <w:r w:rsidRPr="00425B03">
        <w:rPr>
          <w:rFonts w:asciiTheme="minorHAnsi" w:hAnsiTheme="minorHAnsi" w:cstheme="minorHAnsi"/>
          <w:color w:val="000000"/>
          <w:sz w:val="22"/>
          <w:szCs w:val="22"/>
        </w:rPr>
        <w:t xml:space="preserve"> (2 тис. 574 особи, з них – 822 </w:t>
      </w:r>
      <w:proofErr w:type="spellStart"/>
      <w:r w:rsidRPr="00425B03">
        <w:rPr>
          <w:rFonts w:asciiTheme="minorHAnsi" w:hAnsiTheme="minorHAnsi" w:cstheme="minorHAnsi"/>
          <w:color w:val="000000"/>
          <w:sz w:val="22"/>
          <w:szCs w:val="22"/>
        </w:rPr>
        <w:t>дитини</w:t>
      </w:r>
      <w:proofErr w:type="spellEnd"/>
      <w:r w:rsidRPr="00425B03">
        <w:rPr>
          <w:rFonts w:asciiTheme="minorHAnsi" w:hAnsiTheme="minorHAnsi" w:cstheme="minorHAnsi"/>
          <w:color w:val="000000"/>
          <w:sz w:val="22"/>
          <w:szCs w:val="22"/>
        </w:rPr>
        <w:t xml:space="preserve">), </w:t>
      </w:r>
      <w:proofErr w:type="spellStart"/>
      <w:r w:rsidRPr="00425B03">
        <w:rPr>
          <w:rFonts w:asciiTheme="minorHAnsi" w:hAnsiTheme="minorHAnsi" w:cstheme="minorHAnsi"/>
          <w:color w:val="000000"/>
          <w:sz w:val="22"/>
          <w:szCs w:val="22"/>
        </w:rPr>
        <w:t>Івано-Франківській</w:t>
      </w:r>
      <w:proofErr w:type="spellEnd"/>
      <w:r w:rsidRPr="00425B03">
        <w:rPr>
          <w:rFonts w:asciiTheme="minorHAnsi" w:hAnsiTheme="minorHAnsi" w:cstheme="minorHAnsi"/>
          <w:color w:val="000000"/>
          <w:sz w:val="22"/>
          <w:szCs w:val="22"/>
        </w:rPr>
        <w:t xml:space="preserve"> (3 тис. 295 </w:t>
      </w:r>
      <w:proofErr w:type="spellStart"/>
      <w:r w:rsidRPr="00425B03">
        <w:rPr>
          <w:rFonts w:asciiTheme="minorHAnsi" w:hAnsiTheme="minorHAnsi" w:cstheme="minorHAnsi"/>
          <w:color w:val="000000"/>
          <w:sz w:val="22"/>
          <w:szCs w:val="22"/>
        </w:rPr>
        <w:t>осіб</w:t>
      </w:r>
      <w:proofErr w:type="spellEnd"/>
      <w:r w:rsidRPr="00425B03">
        <w:rPr>
          <w:rFonts w:asciiTheme="minorHAnsi" w:hAnsiTheme="minorHAnsi" w:cstheme="minorHAnsi"/>
          <w:color w:val="000000"/>
          <w:sz w:val="22"/>
          <w:szCs w:val="22"/>
        </w:rPr>
        <w:t xml:space="preserve">, </w:t>
      </w:r>
      <w:proofErr w:type="spellStart"/>
      <w:r w:rsidRPr="00425B03">
        <w:rPr>
          <w:rFonts w:asciiTheme="minorHAnsi" w:hAnsiTheme="minorHAnsi" w:cstheme="minorHAnsi"/>
          <w:color w:val="000000"/>
          <w:sz w:val="22"/>
          <w:szCs w:val="22"/>
        </w:rPr>
        <w:t>з</w:t>
      </w:r>
      <w:proofErr w:type="spellEnd"/>
      <w:r w:rsidRPr="00425B03">
        <w:rPr>
          <w:rFonts w:asciiTheme="minorHAnsi" w:hAnsiTheme="minorHAnsi" w:cstheme="minorHAnsi"/>
          <w:color w:val="000000"/>
          <w:sz w:val="22"/>
          <w:szCs w:val="22"/>
        </w:rPr>
        <w:t xml:space="preserve"> них – 1 тис. 22 </w:t>
      </w:r>
      <w:proofErr w:type="spellStart"/>
      <w:r w:rsidRPr="00425B03">
        <w:rPr>
          <w:rFonts w:asciiTheme="minorHAnsi" w:hAnsiTheme="minorHAnsi" w:cstheme="minorHAnsi"/>
          <w:color w:val="000000"/>
          <w:sz w:val="22"/>
          <w:szCs w:val="22"/>
        </w:rPr>
        <w:t>дитини</w:t>
      </w:r>
      <w:proofErr w:type="spellEnd"/>
      <w:r w:rsidRPr="00425B03">
        <w:rPr>
          <w:rFonts w:asciiTheme="minorHAnsi" w:hAnsiTheme="minorHAnsi" w:cstheme="minorHAnsi"/>
          <w:color w:val="000000"/>
          <w:sz w:val="22"/>
          <w:szCs w:val="22"/>
        </w:rPr>
        <w:t xml:space="preserve">), </w:t>
      </w:r>
      <w:proofErr w:type="spellStart"/>
      <w:r w:rsidRPr="00425B03">
        <w:rPr>
          <w:rFonts w:asciiTheme="minorHAnsi" w:hAnsiTheme="minorHAnsi" w:cstheme="minorHAnsi"/>
          <w:color w:val="000000"/>
          <w:sz w:val="22"/>
          <w:szCs w:val="22"/>
        </w:rPr>
        <w:t>Закарпатській</w:t>
      </w:r>
      <w:proofErr w:type="spellEnd"/>
      <w:r w:rsidRPr="00425B03">
        <w:rPr>
          <w:rFonts w:asciiTheme="minorHAnsi" w:hAnsiTheme="minorHAnsi" w:cstheme="minorHAnsi"/>
          <w:color w:val="000000"/>
          <w:sz w:val="22"/>
          <w:szCs w:val="22"/>
        </w:rPr>
        <w:t xml:space="preserve"> (3 тис. 671 особа, з них – 1 тис. 2 </w:t>
      </w:r>
      <w:proofErr w:type="spellStart"/>
      <w:r w:rsidRPr="00425B03">
        <w:rPr>
          <w:rFonts w:asciiTheme="minorHAnsi" w:hAnsiTheme="minorHAnsi" w:cstheme="minorHAnsi"/>
          <w:color w:val="000000"/>
          <w:sz w:val="22"/>
          <w:szCs w:val="22"/>
        </w:rPr>
        <w:t>дитини</w:t>
      </w:r>
      <w:proofErr w:type="spellEnd"/>
      <w:r w:rsidRPr="00425B03">
        <w:rPr>
          <w:rFonts w:asciiTheme="minorHAnsi" w:hAnsiTheme="minorHAnsi" w:cstheme="minorHAnsi"/>
          <w:color w:val="000000"/>
          <w:sz w:val="22"/>
          <w:szCs w:val="22"/>
        </w:rPr>
        <w:t xml:space="preserve">), </w:t>
      </w:r>
      <w:proofErr w:type="spellStart"/>
      <w:proofErr w:type="gramStart"/>
      <w:r w:rsidRPr="00425B03">
        <w:rPr>
          <w:rFonts w:asciiTheme="minorHAnsi" w:hAnsiTheme="minorHAnsi" w:cstheme="minorHAnsi"/>
          <w:color w:val="000000"/>
          <w:sz w:val="22"/>
          <w:szCs w:val="22"/>
        </w:rPr>
        <w:t>Р</w:t>
      </w:r>
      <w:proofErr w:type="gramEnd"/>
      <w:r w:rsidRPr="00425B03">
        <w:rPr>
          <w:rFonts w:asciiTheme="minorHAnsi" w:hAnsiTheme="minorHAnsi" w:cstheme="minorHAnsi"/>
          <w:color w:val="000000"/>
          <w:sz w:val="22"/>
          <w:szCs w:val="22"/>
        </w:rPr>
        <w:t>івненській</w:t>
      </w:r>
      <w:proofErr w:type="spellEnd"/>
      <w:r w:rsidRPr="00425B03">
        <w:rPr>
          <w:rFonts w:asciiTheme="minorHAnsi" w:hAnsiTheme="minorHAnsi" w:cstheme="minorHAnsi"/>
          <w:color w:val="000000"/>
          <w:sz w:val="22"/>
          <w:szCs w:val="22"/>
        </w:rPr>
        <w:t xml:space="preserve"> (3 тис. 637 </w:t>
      </w:r>
      <w:proofErr w:type="spellStart"/>
      <w:proofErr w:type="gramStart"/>
      <w:r w:rsidRPr="00425B03">
        <w:rPr>
          <w:rFonts w:asciiTheme="minorHAnsi" w:hAnsiTheme="minorHAnsi" w:cstheme="minorHAnsi"/>
          <w:color w:val="000000"/>
          <w:sz w:val="22"/>
          <w:szCs w:val="22"/>
        </w:rPr>
        <w:t>осіб</w:t>
      </w:r>
      <w:proofErr w:type="spellEnd"/>
      <w:proofErr w:type="gramEnd"/>
      <w:r w:rsidRPr="00425B03">
        <w:rPr>
          <w:rFonts w:asciiTheme="minorHAnsi" w:hAnsiTheme="minorHAnsi" w:cstheme="minorHAnsi"/>
          <w:color w:val="000000"/>
          <w:sz w:val="22"/>
          <w:szCs w:val="22"/>
        </w:rPr>
        <w:t xml:space="preserve">, </w:t>
      </w:r>
      <w:proofErr w:type="spellStart"/>
      <w:r w:rsidRPr="00425B03">
        <w:rPr>
          <w:rFonts w:asciiTheme="minorHAnsi" w:hAnsiTheme="minorHAnsi" w:cstheme="minorHAnsi"/>
          <w:color w:val="000000"/>
          <w:sz w:val="22"/>
          <w:szCs w:val="22"/>
        </w:rPr>
        <w:t>з</w:t>
      </w:r>
      <w:proofErr w:type="spellEnd"/>
      <w:r w:rsidRPr="00425B03">
        <w:rPr>
          <w:rFonts w:asciiTheme="minorHAnsi" w:hAnsiTheme="minorHAnsi" w:cstheme="minorHAnsi"/>
          <w:color w:val="000000"/>
          <w:sz w:val="22"/>
          <w:szCs w:val="22"/>
        </w:rPr>
        <w:t xml:space="preserve"> них – 1 тис. 69 </w:t>
      </w:r>
      <w:proofErr w:type="spellStart"/>
      <w:r w:rsidRPr="00425B03">
        <w:rPr>
          <w:rFonts w:asciiTheme="minorHAnsi" w:hAnsiTheme="minorHAnsi" w:cstheme="minorHAnsi"/>
          <w:color w:val="000000"/>
          <w:sz w:val="22"/>
          <w:szCs w:val="22"/>
        </w:rPr>
        <w:t>дітей</w:t>
      </w:r>
      <w:proofErr w:type="spellEnd"/>
      <w:r w:rsidRPr="00425B03">
        <w:rPr>
          <w:rFonts w:asciiTheme="minorHAnsi" w:hAnsiTheme="minorHAnsi" w:cstheme="minorHAnsi"/>
          <w:color w:val="000000"/>
          <w:sz w:val="22"/>
          <w:szCs w:val="22"/>
        </w:rPr>
        <w:t xml:space="preserve">) та </w:t>
      </w:r>
      <w:proofErr w:type="spellStart"/>
      <w:r w:rsidRPr="00425B03">
        <w:rPr>
          <w:rFonts w:asciiTheme="minorHAnsi" w:hAnsiTheme="minorHAnsi" w:cstheme="minorHAnsi"/>
          <w:color w:val="000000"/>
          <w:sz w:val="22"/>
          <w:szCs w:val="22"/>
        </w:rPr>
        <w:t>Волинській</w:t>
      </w:r>
      <w:proofErr w:type="spellEnd"/>
      <w:r w:rsidRPr="00425B03">
        <w:rPr>
          <w:rFonts w:asciiTheme="minorHAnsi" w:hAnsiTheme="minorHAnsi" w:cstheme="minorHAnsi"/>
          <w:color w:val="000000"/>
          <w:sz w:val="22"/>
          <w:szCs w:val="22"/>
        </w:rPr>
        <w:t xml:space="preserve"> (3 тис. 770 </w:t>
      </w:r>
      <w:proofErr w:type="spellStart"/>
      <w:r w:rsidRPr="00425B03">
        <w:rPr>
          <w:rFonts w:asciiTheme="minorHAnsi" w:hAnsiTheme="minorHAnsi" w:cstheme="minorHAnsi"/>
          <w:color w:val="000000"/>
          <w:sz w:val="22"/>
          <w:szCs w:val="22"/>
        </w:rPr>
        <w:t>осіб</w:t>
      </w:r>
      <w:proofErr w:type="spellEnd"/>
      <w:r w:rsidRPr="00425B03">
        <w:rPr>
          <w:rFonts w:asciiTheme="minorHAnsi" w:hAnsiTheme="minorHAnsi" w:cstheme="minorHAnsi"/>
          <w:color w:val="000000"/>
          <w:sz w:val="22"/>
          <w:szCs w:val="22"/>
        </w:rPr>
        <w:t xml:space="preserve">, </w:t>
      </w:r>
      <w:proofErr w:type="spellStart"/>
      <w:r w:rsidRPr="00425B03">
        <w:rPr>
          <w:rFonts w:asciiTheme="minorHAnsi" w:hAnsiTheme="minorHAnsi" w:cstheme="minorHAnsi"/>
          <w:color w:val="000000"/>
          <w:sz w:val="22"/>
          <w:szCs w:val="22"/>
        </w:rPr>
        <w:t>з</w:t>
      </w:r>
      <w:proofErr w:type="spellEnd"/>
      <w:r w:rsidRPr="00425B03">
        <w:rPr>
          <w:rFonts w:asciiTheme="minorHAnsi" w:hAnsiTheme="minorHAnsi" w:cstheme="minorHAnsi"/>
          <w:color w:val="000000"/>
          <w:sz w:val="22"/>
          <w:szCs w:val="22"/>
        </w:rPr>
        <w:t xml:space="preserve"> них – 1 тис. 69 </w:t>
      </w:r>
      <w:proofErr w:type="spellStart"/>
      <w:r w:rsidRPr="00425B03">
        <w:rPr>
          <w:rFonts w:asciiTheme="minorHAnsi" w:hAnsiTheme="minorHAnsi" w:cstheme="minorHAnsi"/>
          <w:color w:val="000000"/>
          <w:sz w:val="22"/>
          <w:szCs w:val="22"/>
        </w:rPr>
        <w:t>дітей</w:t>
      </w:r>
      <w:proofErr w:type="spellEnd"/>
      <w:r w:rsidRPr="00425B03">
        <w:rPr>
          <w:rFonts w:asciiTheme="minorHAnsi" w:hAnsiTheme="minorHAnsi" w:cstheme="minorHAnsi"/>
          <w:color w:val="000000"/>
          <w:sz w:val="22"/>
          <w:szCs w:val="22"/>
        </w:rPr>
        <w:t>) областях.</w:t>
      </w:r>
    </w:p>
    <w:p w:rsidR="003D176D" w:rsidRPr="00425B03" w:rsidRDefault="003D176D">
      <w:pPr>
        <w:pStyle w:val="aa"/>
        <w:rPr>
          <w:rFonts w:cstheme="minorHAnsi"/>
          <w:sz w:val="22"/>
          <w:szCs w:val="22"/>
        </w:rPr>
      </w:pPr>
    </w:p>
  </w:footnote>
  <w:footnote w:id="2">
    <w:p w:rsidR="00364808" w:rsidRPr="00425B03" w:rsidRDefault="00364808" w:rsidP="00425B03">
      <w:pPr>
        <w:jc w:val="both"/>
        <w:rPr>
          <w:rFonts w:cstheme="minorHAnsi"/>
          <w:lang w:val="uk-UA"/>
        </w:rPr>
      </w:pPr>
      <w:r w:rsidRPr="00796B4E">
        <w:rPr>
          <w:rStyle w:val="ac"/>
          <w:lang w:val="uk-UA"/>
        </w:rPr>
        <w:footnoteRef/>
      </w:r>
      <w:r w:rsidRPr="00796B4E">
        <w:rPr>
          <w:lang w:val="uk-UA"/>
        </w:rPr>
        <w:t xml:space="preserve"> </w:t>
      </w:r>
      <w:r w:rsidRPr="00425B03">
        <w:rPr>
          <w:rFonts w:cstheme="minorHAnsi"/>
          <w:lang w:val="uk-UA"/>
        </w:rPr>
        <w:t>Зокрема були досліджені освітні послуги в</w:t>
      </w:r>
      <w:r w:rsidR="00796B4E" w:rsidRPr="00425B03">
        <w:rPr>
          <w:rFonts w:cstheme="minorHAnsi"/>
          <w:lang w:val="uk-UA"/>
        </w:rPr>
        <w:t xml:space="preserve">  містах  Харкові</w:t>
      </w:r>
      <w:r w:rsidRPr="00425B03">
        <w:rPr>
          <w:rFonts w:cstheme="minorHAnsi"/>
          <w:lang w:val="uk-UA"/>
        </w:rPr>
        <w:t>,</w:t>
      </w:r>
      <w:r w:rsidR="00796B4E" w:rsidRPr="00425B03">
        <w:rPr>
          <w:rFonts w:cstheme="minorHAnsi"/>
          <w:lang w:val="uk-UA"/>
        </w:rPr>
        <w:t xml:space="preserve"> </w:t>
      </w:r>
      <w:r w:rsidRPr="00425B03">
        <w:rPr>
          <w:rFonts w:cstheme="minorHAnsi"/>
          <w:lang w:val="uk-UA"/>
        </w:rPr>
        <w:t>Одес</w:t>
      </w:r>
      <w:r w:rsidR="00796B4E" w:rsidRPr="00425B03">
        <w:rPr>
          <w:rFonts w:cstheme="minorHAnsi"/>
          <w:lang w:val="uk-UA"/>
        </w:rPr>
        <w:t>і,</w:t>
      </w:r>
      <w:r w:rsidRPr="00425B03">
        <w:rPr>
          <w:rFonts w:cstheme="minorHAnsi"/>
          <w:lang w:val="uk-UA"/>
        </w:rPr>
        <w:t xml:space="preserve">Луцьку, Ковелі, Нововолинську, Володимирі-Волинському </w:t>
      </w:r>
      <w:r w:rsidR="00796B4E" w:rsidRPr="00425B03">
        <w:rPr>
          <w:rFonts w:cstheme="minorHAnsi"/>
          <w:lang w:val="uk-UA"/>
        </w:rPr>
        <w:t>та ряді інших населених пунктів, Рубіжне, Запорізька та Херсонська область. Опитування проводилося серед студентів СНУ</w:t>
      </w:r>
      <w:r w:rsidRPr="00425B03">
        <w:rPr>
          <w:rFonts w:cstheme="minorHAnsi"/>
          <w:lang w:val="uk-UA"/>
        </w:rPr>
        <w:t xml:space="preserve"> ім. В. Даля; Л</w:t>
      </w:r>
      <w:r w:rsidR="00796B4E" w:rsidRPr="00425B03">
        <w:rPr>
          <w:rFonts w:cstheme="minorHAnsi"/>
          <w:lang w:val="uk-UA"/>
        </w:rPr>
        <w:t>НУ</w:t>
      </w:r>
      <w:r w:rsidRPr="00425B03">
        <w:rPr>
          <w:rFonts w:cstheme="minorHAnsi"/>
          <w:lang w:val="uk-UA"/>
        </w:rPr>
        <w:t xml:space="preserve"> імені Тараса Шевченка</w:t>
      </w:r>
      <w:r w:rsidR="00796B4E" w:rsidRPr="00425B03">
        <w:rPr>
          <w:rFonts w:cstheme="minorHAnsi"/>
          <w:lang w:val="uk-UA"/>
        </w:rPr>
        <w:t>,</w:t>
      </w:r>
      <w:r w:rsidRPr="00425B03">
        <w:rPr>
          <w:rFonts w:cstheme="minorHAnsi"/>
          <w:lang w:val="uk-UA"/>
        </w:rPr>
        <w:t xml:space="preserve"> Сумська область</w:t>
      </w:r>
      <w:r w:rsidR="00796B4E" w:rsidRPr="00425B03">
        <w:rPr>
          <w:rFonts w:cstheme="minorHAnsi"/>
          <w:lang w:val="uk-UA"/>
        </w:rPr>
        <w:t xml:space="preserve"> -</w:t>
      </w:r>
      <w:r w:rsidRPr="00425B03">
        <w:rPr>
          <w:rFonts w:cstheme="minorHAnsi"/>
          <w:lang w:val="uk-UA"/>
        </w:rPr>
        <w:t xml:space="preserve"> </w:t>
      </w:r>
      <w:r w:rsidR="00796B4E" w:rsidRPr="00425B03">
        <w:rPr>
          <w:rFonts w:cstheme="minorHAnsi"/>
          <w:lang w:val="uk-UA"/>
        </w:rPr>
        <w:t xml:space="preserve">СДПУ </w:t>
      </w:r>
      <w:r w:rsidRPr="00425B03">
        <w:rPr>
          <w:rFonts w:cstheme="minorHAnsi"/>
          <w:lang w:val="uk-UA"/>
        </w:rPr>
        <w:t>імені А.С. Макаренка, Української академії банківської справи НБУ, С</w:t>
      </w:r>
      <w:r w:rsidR="00796B4E" w:rsidRPr="00425B03">
        <w:rPr>
          <w:rFonts w:cstheme="minorHAnsi"/>
          <w:lang w:val="uk-UA"/>
        </w:rPr>
        <w:t>НАУ, СДУ.</w:t>
      </w:r>
    </w:p>
    <w:p w:rsidR="00364808" w:rsidRPr="00425B03" w:rsidRDefault="00364808" w:rsidP="00425B03">
      <w:pPr>
        <w:pStyle w:val="aa"/>
        <w:jc w:val="both"/>
        <w:rPr>
          <w:rFonts w:cstheme="minorHAnsi"/>
          <w:lang w:val="uk-UA"/>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41F2"/>
    <w:multiLevelType w:val="hybridMultilevel"/>
    <w:tmpl w:val="497EE33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51613"/>
    <w:multiLevelType w:val="hybridMultilevel"/>
    <w:tmpl w:val="F156F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B33E8A"/>
    <w:multiLevelType w:val="hybridMultilevel"/>
    <w:tmpl w:val="B4D2786E"/>
    <w:lvl w:ilvl="0" w:tplc="AC50F80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1051AF"/>
    <w:multiLevelType w:val="hybridMultilevel"/>
    <w:tmpl w:val="BB00A37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4506E4"/>
    <w:multiLevelType w:val="hybridMultilevel"/>
    <w:tmpl w:val="30A8EC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3D5CB1"/>
    <w:multiLevelType w:val="hybridMultilevel"/>
    <w:tmpl w:val="78FA6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DC7562"/>
    <w:multiLevelType w:val="hybridMultilevel"/>
    <w:tmpl w:val="0F9AC8E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A40136E"/>
    <w:multiLevelType w:val="hybridMultilevel"/>
    <w:tmpl w:val="1AE8A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60175F"/>
    <w:multiLevelType w:val="hybridMultilevel"/>
    <w:tmpl w:val="252C51E2"/>
    <w:lvl w:ilvl="0" w:tplc="9120DAFA">
      <w:start w:val="1"/>
      <w:numFmt w:val="upperRoman"/>
      <w:lvlText w:val="%1."/>
      <w:lvlJc w:val="left"/>
      <w:pPr>
        <w:ind w:left="1080" w:hanging="720"/>
      </w:pPr>
      <w:rPr>
        <w:rFonts w:hint="default"/>
        <w:color w:val="365F91" w:themeColor="accent1"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3E64A3"/>
    <w:multiLevelType w:val="hybridMultilevel"/>
    <w:tmpl w:val="261675BA"/>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930CD5"/>
    <w:multiLevelType w:val="hybridMultilevel"/>
    <w:tmpl w:val="D338ABD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0F95EEF"/>
    <w:multiLevelType w:val="hybridMultilevel"/>
    <w:tmpl w:val="6CA44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9074485"/>
    <w:multiLevelType w:val="hybridMultilevel"/>
    <w:tmpl w:val="BA6C6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96E35D9"/>
    <w:multiLevelType w:val="hybridMultilevel"/>
    <w:tmpl w:val="239094D8"/>
    <w:lvl w:ilvl="0" w:tplc="2AB6EB10">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7B677EC6"/>
    <w:multiLevelType w:val="hybridMultilevel"/>
    <w:tmpl w:val="7196166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A96358"/>
    <w:multiLevelType w:val="hybridMultilevel"/>
    <w:tmpl w:val="CCC42F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10"/>
  </w:num>
  <w:num w:numId="5">
    <w:abstractNumId w:val="5"/>
  </w:num>
  <w:num w:numId="6">
    <w:abstractNumId w:val="0"/>
  </w:num>
  <w:num w:numId="7">
    <w:abstractNumId w:val="14"/>
  </w:num>
  <w:num w:numId="8">
    <w:abstractNumId w:val="15"/>
  </w:num>
  <w:num w:numId="9">
    <w:abstractNumId w:val="7"/>
  </w:num>
  <w:num w:numId="10">
    <w:abstractNumId w:val="11"/>
  </w:num>
  <w:num w:numId="11">
    <w:abstractNumId w:val="13"/>
  </w:num>
  <w:num w:numId="12">
    <w:abstractNumId w:val="1"/>
  </w:num>
  <w:num w:numId="13">
    <w:abstractNumId w:val="12"/>
  </w:num>
  <w:num w:numId="14">
    <w:abstractNumId w:val="3"/>
  </w:num>
  <w:num w:numId="15">
    <w:abstractNumId w:val="9"/>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0D13D6"/>
    <w:rsid w:val="00001B7F"/>
    <w:rsid w:val="00012395"/>
    <w:rsid w:val="00015973"/>
    <w:rsid w:val="000173C4"/>
    <w:rsid w:val="00047154"/>
    <w:rsid w:val="00057F3E"/>
    <w:rsid w:val="000B580B"/>
    <w:rsid w:val="000D13D6"/>
    <w:rsid w:val="001119D1"/>
    <w:rsid w:val="00111F38"/>
    <w:rsid w:val="00171383"/>
    <w:rsid w:val="001C7D6A"/>
    <w:rsid w:val="001E5587"/>
    <w:rsid w:val="001E59B3"/>
    <w:rsid w:val="001F3A75"/>
    <w:rsid w:val="0027276E"/>
    <w:rsid w:val="00276C57"/>
    <w:rsid w:val="00286B95"/>
    <w:rsid w:val="00290A22"/>
    <w:rsid w:val="00295966"/>
    <w:rsid w:val="002F14C4"/>
    <w:rsid w:val="0031142A"/>
    <w:rsid w:val="00320693"/>
    <w:rsid w:val="00335C82"/>
    <w:rsid w:val="00364808"/>
    <w:rsid w:val="00391A68"/>
    <w:rsid w:val="003A657B"/>
    <w:rsid w:val="003B118B"/>
    <w:rsid w:val="003B49B0"/>
    <w:rsid w:val="003D176D"/>
    <w:rsid w:val="003D291E"/>
    <w:rsid w:val="003E4E47"/>
    <w:rsid w:val="004201F0"/>
    <w:rsid w:val="00425B03"/>
    <w:rsid w:val="00432074"/>
    <w:rsid w:val="00436221"/>
    <w:rsid w:val="004372BD"/>
    <w:rsid w:val="004445A6"/>
    <w:rsid w:val="00446D4D"/>
    <w:rsid w:val="0045213C"/>
    <w:rsid w:val="0046012D"/>
    <w:rsid w:val="00462B2A"/>
    <w:rsid w:val="004A2A33"/>
    <w:rsid w:val="004A711B"/>
    <w:rsid w:val="004B402B"/>
    <w:rsid w:val="004E0CBD"/>
    <w:rsid w:val="005105B6"/>
    <w:rsid w:val="00512D54"/>
    <w:rsid w:val="005212AE"/>
    <w:rsid w:val="00561930"/>
    <w:rsid w:val="00564D22"/>
    <w:rsid w:val="005A0B77"/>
    <w:rsid w:val="005A1C93"/>
    <w:rsid w:val="005C3852"/>
    <w:rsid w:val="0060759D"/>
    <w:rsid w:val="00614EAF"/>
    <w:rsid w:val="006E7D5B"/>
    <w:rsid w:val="006F30BE"/>
    <w:rsid w:val="006F5A44"/>
    <w:rsid w:val="006F6C3E"/>
    <w:rsid w:val="00702616"/>
    <w:rsid w:val="00707D3F"/>
    <w:rsid w:val="00733EE1"/>
    <w:rsid w:val="00752EDD"/>
    <w:rsid w:val="00757609"/>
    <w:rsid w:val="007705EC"/>
    <w:rsid w:val="007811B7"/>
    <w:rsid w:val="007879F7"/>
    <w:rsid w:val="00796B4E"/>
    <w:rsid w:val="007A7206"/>
    <w:rsid w:val="007D2EE5"/>
    <w:rsid w:val="007F67FE"/>
    <w:rsid w:val="00812684"/>
    <w:rsid w:val="008411C2"/>
    <w:rsid w:val="0084129D"/>
    <w:rsid w:val="0087655F"/>
    <w:rsid w:val="0088413F"/>
    <w:rsid w:val="008E4153"/>
    <w:rsid w:val="00910283"/>
    <w:rsid w:val="00914BEE"/>
    <w:rsid w:val="009335CE"/>
    <w:rsid w:val="00945401"/>
    <w:rsid w:val="009507A7"/>
    <w:rsid w:val="0096564F"/>
    <w:rsid w:val="009804DE"/>
    <w:rsid w:val="0098056D"/>
    <w:rsid w:val="009B2080"/>
    <w:rsid w:val="009E28FD"/>
    <w:rsid w:val="009F5CA1"/>
    <w:rsid w:val="00A0474E"/>
    <w:rsid w:val="00A0782A"/>
    <w:rsid w:val="00A12A7F"/>
    <w:rsid w:val="00A26D89"/>
    <w:rsid w:val="00A80DB3"/>
    <w:rsid w:val="00A92AA5"/>
    <w:rsid w:val="00AC531D"/>
    <w:rsid w:val="00AE1509"/>
    <w:rsid w:val="00AF43FA"/>
    <w:rsid w:val="00AF7D0C"/>
    <w:rsid w:val="00B3118C"/>
    <w:rsid w:val="00B77B5A"/>
    <w:rsid w:val="00B96084"/>
    <w:rsid w:val="00B9686D"/>
    <w:rsid w:val="00C02B6A"/>
    <w:rsid w:val="00C21AC5"/>
    <w:rsid w:val="00C232D5"/>
    <w:rsid w:val="00C234F8"/>
    <w:rsid w:val="00C50E76"/>
    <w:rsid w:val="00C626E5"/>
    <w:rsid w:val="00C80BF7"/>
    <w:rsid w:val="00CB55B9"/>
    <w:rsid w:val="00CE307D"/>
    <w:rsid w:val="00CF2335"/>
    <w:rsid w:val="00D44079"/>
    <w:rsid w:val="00D47D34"/>
    <w:rsid w:val="00D63926"/>
    <w:rsid w:val="00D82A39"/>
    <w:rsid w:val="00DF7329"/>
    <w:rsid w:val="00E32575"/>
    <w:rsid w:val="00E44118"/>
    <w:rsid w:val="00E67A94"/>
    <w:rsid w:val="00E71B78"/>
    <w:rsid w:val="00E7705F"/>
    <w:rsid w:val="00E77A1C"/>
    <w:rsid w:val="00E8312E"/>
    <w:rsid w:val="00E85177"/>
    <w:rsid w:val="00EA0861"/>
    <w:rsid w:val="00EA13E9"/>
    <w:rsid w:val="00EC1FC1"/>
    <w:rsid w:val="00F06391"/>
    <w:rsid w:val="00F70D59"/>
    <w:rsid w:val="00F74E72"/>
    <w:rsid w:val="00F957F1"/>
    <w:rsid w:val="00FA2345"/>
    <w:rsid w:val="00FD1E4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4DE"/>
  </w:style>
  <w:style w:type="paragraph" w:styleId="1">
    <w:name w:val="heading 1"/>
    <w:basedOn w:val="a"/>
    <w:next w:val="a"/>
    <w:link w:val="10"/>
    <w:uiPriority w:val="9"/>
    <w:qFormat/>
    <w:rsid w:val="000D13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D13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11F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3D6"/>
    <w:pPr>
      <w:ind w:left="720"/>
      <w:contextualSpacing/>
    </w:pPr>
  </w:style>
  <w:style w:type="character" w:customStyle="1" w:styleId="10">
    <w:name w:val="Заголовок 1 Знак"/>
    <w:basedOn w:val="a0"/>
    <w:link w:val="1"/>
    <w:uiPriority w:val="9"/>
    <w:rsid w:val="000D13D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D13D6"/>
    <w:rPr>
      <w:rFonts w:asciiTheme="majorHAnsi" w:eastAsiaTheme="majorEastAsia" w:hAnsiTheme="majorHAnsi" w:cstheme="majorBidi"/>
      <w:b/>
      <w:bCs/>
      <w:color w:val="4F81BD" w:themeColor="accent1"/>
      <w:sz w:val="26"/>
      <w:szCs w:val="26"/>
    </w:rPr>
  </w:style>
  <w:style w:type="paragraph" w:styleId="a4">
    <w:name w:val="TOC Heading"/>
    <w:basedOn w:val="1"/>
    <w:next w:val="a"/>
    <w:uiPriority w:val="39"/>
    <w:unhideWhenUsed/>
    <w:qFormat/>
    <w:rsid w:val="000D13D6"/>
    <w:pPr>
      <w:outlineLvl w:val="9"/>
    </w:pPr>
    <w:rPr>
      <w:lang w:eastAsia="ru-RU"/>
    </w:rPr>
  </w:style>
  <w:style w:type="paragraph" w:styleId="11">
    <w:name w:val="toc 1"/>
    <w:basedOn w:val="a"/>
    <w:next w:val="a"/>
    <w:autoRedefine/>
    <w:uiPriority w:val="39"/>
    <w:unhideWhenUsed/>
    <w:rsid w:val="000D13D6"/>
    <w:pPr>
      <w:spacing w:after="100"/>
    </w:pPr>
  </w:style>
  <w:style w:type="paragraph" w:styleId="21">
    <w:name w:val="toc 2"/>
    <w:basedOn w:val="a"/>
    <w:next w:val="a"/>
    <w:autoRedefine/>
    <w:uiPriority w:val="39"/>
    <w:unhideWhenUsed/>
    <w:rsid w:val="000D13D6"/>
    <w:pPr>
      <w:spacing w:after="100"/>
      <w:ind w:left="220"/>
    </w:pPr>
  </w:style>
  <w:style w:type="character" w:styleId="a5">
    <w:name w:val="Hyperlink"/>
    <w:basedOn w:val="a0"/>
    <w:uiPriority w:val="99"/>
    <w:unhideWhenUsed/>
    <w:rsid w:val="000D13D6"/>
    <w:rPr>
      <w:color w:val="0000FF" w:themeColor="hyperlink"/>
      <w:u w:val="single"/>
    </w:rPr>
  </w:style>
  <w:style w:type="paragraph" w:styleId="a6">
    <w:name w:val="Balloon Text"/>
    <w:basedOn w:val="a"/>
    <w:link w:val="a7"/>
    <w:uiPriority w:val="99"/>
    <w:semiHidden/>
    <w:unhideWhenUsed/>
    <w:rsid w:val="000D13D6"/>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0D13D6"/>
    <w:rPr>
      <w:rFonts w:ascii="Tahoma" w:hAnsi="Tahoma" w:cs="Tahoma"/>
      <w:sz w:val="16"/>
      <w:szCs w:val="16"/>
    </w:rPr>
  </w:style>
  <w:style w:type="table" w:styleId="a8">
    <w:name w:val="Table Grid"/>
    <w:basedOn w:val="a1"/>
    <w:uiPriority w:val="59"/>
    <w:rsid w:val="00702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FD1E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FD1E43"/>
  </w:style>
  <w:style w:type="character" w:customStyle="1" w:styleId="apple-converted-space">
    <w:name w:val="apple-converted-space"/>
    <w:basedOn w:val="a0"/>
    <w:rsid w:val="00FD1E43"/>
  </w:style>
  <w:style w:type="paragraph" w:styleId="a9">
    <w:name w:val="Normal (Web)"/>
    <w:basedOn w:val="a"/>
    <w:uiPriority w:val="99"/>
    <w:unhideWhenUsed/>
    <w:rsid w:val="00276C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note text"/>
    <w:basedOn w:val="a"/>
    <w:link w:val="ab"/>
    <w:uiPriority w:val="99"/>
    <w:semiHidden/>
    <w:unhideWhenUsed/>
    <w:rsid w:val="00276C57"/>
    <w:pPr>
      <w:spacing w:after="0" w:line="240" w:lineRule="auto"/>
    </w:pPr>
    <w:rPr>
      <w:sz w:val="20"/>
      <w:szCs w:val="20"/>
    </w:rPr>
  </w:style>
  <w:style w:type="character" w:customStyle="1" w:styleId="ab">
    <w:name w:val="Текст виноски Знак"/>
    <w:basedOn w:val="a0"/>
    <w:link w:val="aa"/>
    <w:uiPriority w:val="99"/>
    <w:semiHidden/>
    <w:rsid w:val="00276C57"/>
    <w:rPr>
      <w:sz w:val="20"/>
      <w:szCs w:val="20"/>
    </w:rPr>
  </w:style>
  <w:style w:type="character" w:styleId="ac">
    <w:name w:val="footnote reference"/>
    <w:basedOn w:val="a0"/>
    <w:uiPriority w:val="99"/>
    <w:semiHidden/>
    <w:unhideWhenUsed/>
    <w:rsid w:val="00276C57"/>
    <w:rPr>
      <w:vertAlign w:val="superscript"/>
    </w:rPr>
  </w:style>
  <w:style w:type="character" w:customStyle="1" w:styleId="30">
    <w:name w:val="Заголовок 3 Знак"/>
    <w:basedOn w:val="a0"/>
    <w:link w:val="3"/>
    <w:uiPriority w:val="9"/>
    <w:rsid w:val="00111F38"/>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9507A7"/>
    <w:pPr>
      <w:spacing w:after="100"/>
      <w:ind w:left="440"/>
    </w:pPr>
  </w:style>
  <w:style w:type="character" w:styleId="ad">
    <w:name w:val="annotation reference"/>
    <w:basedOn w:val="a0"/>
    <w:uiPriority w:val="99"/>
    <w:semiHidden/>
    <w:unhideWhenUsed/>
    <w:rsid w:val="00733EE1"/>
    <w:rPr>
      <w:sz w:val="16"/>
      <w:szCs w:val="16"/>
    </w:rPr>
  </w:style>
  <w:style w:type="paragraph" w:styleId="ae">
    <w:name w:val="annotation text"/>
    <w:basedOn w:val="a"/>
    <w:link w:val="af"/>
    <w:uiPriority w:val="99"/>
    <w:semiHidden/>
    <w:unhideWhenUsed/>
    <w:rsid w:val="00733EE1"/>
    <w:pPr>
      <w:spacing w:line="240" w:lineRule="auto"/>
    </w:pPr>
    <w:rPr>
      <w:sz w:val="20"/>
      <w:szCs w:val="20"/>
    </w:rPr>
  </w:style>
  <w:style w:type="character" w:customStyle="1" w:styleId="af">
    <w:name w:val="Текст примітки Знак"/>
    <w:basedOn w:val="a0"/>
    <w:link w:val="ae"/>
    <w:uiPriority w:val="99"/>
    <w:semiHidden/>
    <w:rsid w:val="00733EE1"/>
    <w:rPr>
      <w:sz w:val="20"/>
      <w:szCs w:val="20"/>
    </w:rPr>
  </w:style>
  <w:style w:type="paragraph" w:styleId="af0">
    <w:name w:val="Body Text"/>
    <w:basedOn w:val="a"/>
    <w:link w:val="af1"/>
    <w:uiPriority w:val="99"/>
    <w:semiHidden/>
    <w:unhideWhenUsed/>
    <w:rsid w:val="00733EE1"/>
    <w:pPr>
      <w:spacing w:after="120"/>
    </w:pPr>
    <w:rPr>
      <w:rFonts w:ascii="Calibri" w:eastAsia="Calibri" w:hAnsi="Calibri" w:cs="Times New Roman"/>
    </w:rPr>
  </w:style>
  <w:style w:type="character" w:customStyle="1" w:styleId="af1">
    <w:name w:val="Основний текст Знак"/>
    <w:basedOn w:val="a0"/>
    <w:link w:val="af0"/>
    <w:uiPriority w:val="99"/>
    <w:semiHidden/>
    <w:rsid w:val="00733EE1"/>
    <w:rPr>
      <w:rFonts w:ascii="Calibri" w:eastAsia="Calibri" w:hAnsi="Calibri" w:cs="Times New Roman"/>
    </w:rPr>
  </w:style>
  <w:style w:type="paragraph" w:styleId="af2">
    <w:name w:val="header"/>
    <w:basedOn w:val="a"/>
    <w:link w:val="af3"/>
    <w:uiPriority w:val="99"/>
    <w:semiHidden/>
    <w:unhideWhenUsed/>
    <w:rsid w:val="00432074"/>
    <w:pPr>
      <w:tabs>
        <w:tab w:val="center" w:pos="4819"/>
        <w:tab w:val="right" w:pos="9639"/>
      </w:tabs>
      <w:spacing w:after="0" w:line="240" w:lineRule="auto"/>
    </w:pPr>
  </w:style>
  <w:style w:type="character" w:customStyle="1" w:styleId="af3">
    <w:name w:val="Верхній колонтитул Знак"/>
    <w:basedOn w:val="a0"/>
    <w:link w:val="af2"/>
    <w:uiPriority w:val="99"/>
    <w:semiHidden/>
    <w:rsid w:val="00432074"/>
  </w:style>
  <w:style w:type="paragraph" w:styleId="af4">
    <w:name w:val="footer"/>
    <w:basedOn w:val="a"/>
    <w:link w:val="af5"/>
    <w:uiPriority w:val="99"/>
    <w:semiHidden/>
    <w:unhideWhenUsed/>
    <w:rsid w:val="00432074"/>
    <w:pPr>
      <w:tabs>
        <w:tab w:val="center" w:pos="4819"/>
        <w:tab w:val="right" w:pos="9639"/>
      </w:tabs>
      <w:spacing w:after="0" w:line="240" w:lineRule="auto"/>
    </w:pPr>
  </w:style>
  <w:style w:type="character" w:customStyle="1" w:styleId="af5">
    <w:name w:val="Нижній колонтитул Знак"/>
    <w:basedOn w:val="a0"/>
    <w:link w:val="af4"/>
    <w:uiPriority w:val="99"/>
    <w:semiHidden/>
    <w:rsid w:val="004320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D13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D13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11F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3D6"/>
    <w:pPr>
      <w:ind w:left="720"/>
      <w:contextualSpacing/>
    </w:pPr>
  </w:style>
  <w:style w:type="character" w:customStyle="1" w:styleId="10">
    <w:name w:val="Заголовок 1 Знак"/>
    <w:basedOn w:val="a0"/>
    <w:link w:val="1"/>
    <w:uiPriority w:val="9"/>
    <w:rsid w:val="000D13D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D13D6"/>
    <w:rPr>
      <w:rFonts w:asciiTheme="majorHAnsi" w:eastAsiaTheme="majorEastAsia" w:hAnsiTheme="majorHAnsi" w:cstheme="majorBidi"/>
      <w:b/>
      <w:bCs/>
      <w:color w:val="4F81BD" w:themeColor="accent1"/>
      <w:sz w:val="26"/>
      <w:szCs w:val="26"/>
    </w:rPr>
  </w:style>
  <w:style w:type="paragraph" w:styleId="a4">
    <w:name w:val="TOC Heading"/>
    <w:basedOn w:val="1"/>
    <w:next w:val="a"/>
    <w:uiPriority w:val="39"/>
    <w:unhideWhenUsed/>
    <w:qFormat/>
    <w:rsid w:val="000D13D6"/>
    <w:pPr>
      <w:outlineLvl w:val="9"/>
    </w:pPr>
    <w:rPr>
      <w:lang w:eastAsia="ru-RU"/>
    </w:rPr>
  </w:style>
  <w:style w:type="paragraph" w:styleId="11">
    <w:name w:val="toc 1"/>
    <w:basedOn w:val="a"/>
    <w:next w:val="a"/>
    <w:autoRedefine/>
    <w:uiPriority w:val="39"/>
    <w:unhideWhenUsed/>
    <w:rsid w:val="000D13D6"/>
    <w:pPr>
      <w:spacing w:after="100"/>
    </w:pPr>
  </w:style>
  <w:style w:type="paragraph" w:styleId="21">
    <w:name w:val="toc 2"/>
    <w:basedOn w:val="a"/>
    <w:next w:val="a"/>
    <w:autoRedefine/>
    <w:uiPriority w:val="39"/>
    <w:unhideWhenUsed/>
    <w:rsid w:val="000D13D6"/>
    <w:pPr>
      <w:spacing w:after="100"/>
      <w:ind w:left="220"/>
    </w:pPr>
  </w:style>
  <w:style w:type="character" w:styleId="a5">
    <w:name w:val="Hyperlink"/>
    <w:basedOn w:val="a0"/>
    <w:uiPriority w:val="99"/>
    <w:unhideWhenUsed/>
    <w:rsid w:val="000D13D6"/>
    <w:rPr>
      <w:color w:val="0000FF" w:themeColor="hyperlink"/>
      <w:u w:val="single"/>
    </w:rPr>
  </w:style>
  <w:style w:type="paragraph" w:styleId="a6">
    <w:name w:val="Balloon Text"/>
    <w:basedOn w:val="a"/>
    <w:link w:val="a7"/>
    <w:uiPriority w:val="99"/>
    <w:semiHidden/>
    <w:unhideWhenUsed/>
    <w:rsid w:val="000D13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13D6"/>
    <w:rPr>
      <w:rFonts w:ascii="Tahoma" w:hAnsi="Tahoma" w:cs="Tahoma"/>
      <w:sz w:val="16"/>
      <w:szCs w:val="16"/>
    </w:rPr>
  </w:style>
  <w:style w:type="table" w:styleId="a8">
    <w:name w:val="Table Grid"/>
    <w:basedOn w:val="a1"/>
    <w:uiPriority w:val="59"/>
    <w:rsid w:val="00702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FD1E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FD1E43"/>
  </w:style>
  <w:style w:type="character" w:customStyle="1" w:styleId="apple-converted-space">
    <w:name w:val="apple-converted-space"/>
    <w:basedOn w:val="a0"/>
    <w:rsid w:val="00FD1E43"/>
  </w:style>
  <w:style w:type="paragraph" w:styleId="a9">
    <w:name w:val="Normal (Web)"/>
    <w:basedOn w:val="a"/>
    <w:uiPriority w:val="99"/>
    <w:unhideWhenUsed/>
    <w:rsid w:val="00276C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note text"/>
    <w:basedOn w:val="a"/>
    <w:link w:val="ab"/>
    <w:uiPriority w:val="99"/>
    <w:semiHidden/>
    <w:unhideWhenUsed/>
    <w:rsid w:val="00276C57"/>
    <w:pPr>
      <w:spacing w:after="0" w:line="240" w:lineRule="auto"/>
    </w:pPr>
    <w:rPr>
      <w:sz w:val="20"/>
      <w:szCs w:val="20"/>
    </w:rPr>
  </w:style>
  <w:style w:type="character" w:customStyle="1" w:styleId="ab">
    <w:name w:val="Текст сноски Знак"/>
    <w:basedOn w:val="a0"/>
    <w:link w:val="aa"/>
    <w:uiPriority w:val="99"/>
    <w:semiHidden/>
    <w:rsid w:val="00276C57"/>
    <w:rPr>
      <w:sz w:val="20"/>
      <w:szCs w:val="20"/>
    </w:rPr>
  </w:style>
  <w:style w:type="character" w:styleId="ac">
    <w:name w:val="footnote reference"/>
    <w:basedOn w:val="a0"/>
    <w:uiPriority w:val="99"/>
    <w:semiHidden/>
    <w:unhideWhenUsed/>
    <w:rsid w:val="00276C57"/>
    <w:rPr>
      <w:vertAlign w:val="superscript"/>
    </w:rPr>
  </w:style>
  <w:style w:type="character" w:customStyle="1" w:styleId="30">
    <w:name w:val="Заголовок 3 Знак"/>
    <w:basedOn w:val="a0"/>
    <w:link w:val="3"/>
    <w:uiPriority w:val="9"/>
    <w:rsid w:val="00111F38"/>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9507A7"/>
    <w:pPr>
      <w:spacing w:after="100"/>
      <w:ind w:left="440"/>
    </w:pPr>
  </w:style>
  <w:style w:type="character" w:styleId="ad">
    <w:name w:val="annotation reference"/>
    <w:basedOn w:val="a0"/>
    <w:uiPriority w:val="99"/>
    <w:semiHidden/>
    <w:unhideWhenUsed/>
    <w:rsid w:val="00733EE1"/>
    <w:rPr>
      <w:sz w:val="16"/>
      <w:szCs w:val="16"/>
    </w:rPr>
  </w:style>
  <w:style w:type="paragraph" w:styleId="ae">
    <w:name w:val="annotation text"/>
    <w:basedOn w:val="a"/>
    <w:link w:val="af"/>
    <w:uiPriority w:val="99"/>
    <w:semiHidden/>
    <w:unhideWhenUsed/>
    <w:rsid w:val="00733EE1"/>
    <w:pPr>
      <w:spacing w:line="240" w:lineRule="auto"/>
    </w:pPr>
    <w:rPr>
      <w:sz w:val="20"/>
      <w:szCs w:val="20"/>
    </w:rPr>
  </w:style>
  <w:style w:type="character" w:customStyle="1" w:styleId="af">
    <w:name w:val="Текст примечания Знак"/>
    <w:basedOn w:val="a0"/>
    <w:link w:val="ae"/>
    <w:uiPriority w:val="99"/>
    <w:semiHidden/>
    <w:rsid w:val="00733EE1"/>
    <w:rPr>
      <w:sz w:val="20"/>
      <w:szCs w:val="20"/>
    </w:rPr>
  </w:style>
  <w:style w:type="paragraph" w:styleId="af0">
    <w:name w:val="Body Text"/>
    <w:basedOn w:val="a"/>
    <w:link w:val="af1"/>
    <w:uiPriority w:val="99"/>
    <w:semiHidden/>
    <w:unhideWhenUsed/>
    <w:rsid w:val="00733EE1"/>
    <w:pPr>
      <w:spacing w:after="120"/>
    </w:pPr>
    <w:rPr>
      <w:rFonts w:ascii="Calibri" w:eastAsia="Calibri" w:hAnsi="Calibri" w:cs="Times New Roman"/>
    </w:rPr>
  </w:style>
  <w:style w:type="character" w:customStyle="1" w:styleId="af1">
    <w:name w:val="Основной текст Знак"/>
    <w:basedOn w:val="a0"/>
    <w:link w:val="af0"/>
    <w:uiPriority w:val="99"/>
    <w:semiHidden/>
    <w:rsid w:val="00733EE1"/>
    <w:rPr>
      <w:rFonts w:ascii="Calibri" w:eastAsia="Calibri" w:hAnsi="Calibri" w:cs="Times New Roman"/>
    </w:rPr>
  </w:style>
  <w:style w:type="paragraph" w:styleId="af2">
    <w:name w:val="header"/>
    <w:basedOn w:val="a"/>
    <w:link w:val="af3"/>
    <w:uiPriority w:val="99"/>
    <w:semiHidden/>
    <w:unhideWhenUsed/>
    <w:rsid w:val="00432074"/>
    <w:pPr>
      <w:tabs>
        <w:tab w:val="center" w:pos="4819"/>
        <w:tab w:val="right" w:pos="9639"/>
      </w:tabs>
      <w:spacing w:after="0" w:line="240" w:lineRule="auto"/>
    </w:pPr>
  </w:style>
  <w:style w:type="character" w:customStyle="1" w:styleId="af3">
    <w:name w:val="Верхний колонтитул Знак"/>
    <w:basedOn w:val="a0"/>
    <w:link w:val="af2"/>
    <w:uiPriority w:val="99"/>
    <w:semiHidden/>
    <w:rsid w:val="00432074"/>
  </w:style>
  <w:style w:type="paragraph" w:styleId="af4">
    <w:name w:val="footer"/>
    <w:basedOn w:val="a"/>
    <w:link w:val="af5"/>
    <w:uiPriority w:val="99"/>
    <w:semiHidden/>
    <w:unhideWhenUsed/>
    <w:rsid w:val="00432074"/>
    <w:pPr>
      <w:tabs>
        <w:tab w:val="center" w:pos="4819"/>
        <w:tab w:val="right" w:pos="9639"/>
      </w:tabs>
      <w:spacing w:after="0" w:line="240" w:lineRule="auto"/>
    </w:pPr>
  </w:style>
  <w:style w:type="character" w:customStyle="1" w:styleId="af5">
    <w:name w:val="Нижний колонтитул Знак"/>
    <w:basedOn w:val="a0"/>
    <w:link w:val="af4"/>
    <w:uiPriority w:val="99"/>
    <w:semiHidden/>
    <w:rsid w:val="00432074"/>
  </w:style>
</w:styles>
</file>

<file path=word/webSettings.xml><?xml version="1.0" encoding="utf-8"?>
<w:webSettings xmlns:r="http://schemas.openxmlformats.org/officeDocument/2006/relationships" xmlns:w="http://schemas.openxmlformats.org/wordprocessingml/2006/main">
  <w:divs>
    <w:div w:id="987511062">
      <w:bodyDiv w:val="1"/>
      <w:marLeft w:val="0"/>
      <w:marRight w:val="0"/>
      <w:marTop w:val="0"/>
      <w:marBottom w:val="0"/>
      <w:divBdr>
        <w:top w:val="none" w:sz="0" w:space="0" w:color="auto"/>
        <w:left w:val="none" w:sz="0" w:space="0" w:color="auto"/>
        <w:bottom w:val="none" w:sz="0" w:space="0" w:color="auto"/>
        <w:right w:val="none" w:sz="0" w:space="0" w:color="auto"/>
      </w:divBdr>
    </w:div>
    <w:div w:id="1041247291">
      <w:bodyDiv w:val="1"/>
      <w:marLeft w:val="0"/>
      <w:marRight w:val="0"/>
      <w:marTop w:val="0"/>
      <w:marBottom w:val="0"/>
      <w:divBdr>
        <w:top w:val="none" w:sz="0" w:space="0" w:color="auto"/>
        <w:left w:val="none" w:sz="0" w:space="0" w:color="auto"/>
        <w:bottom w:val="none" w:sz="0" w:space="0" w:color="auto"/>
        <w:right w:val="none" w:sz="0" w:space="0" w:color="auto"/>
      </w:divBdr>
    </w:div>
    <w:div w:id="189176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D:\WORK_2.04.2015\IRF\&#1054;&#1073;&#1088;&#1072;&#1079;&#1086;&#1074;&#1072;&#1085;&#1080;&#1103;%20&#1076;&#1083;&#1103;%20&#1087;&#1077;&#1088;&#1077;&#1089;&#1077;&#1085;&#1094;&#1077;&#1074;\&#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clustered"/>
        <c:ser>
          <c:idx val="0"/>
          <c:order val="0"/>
          <c:tx>
            <c:strRef>
              <c:f>Лист2!$C$6</c:f>
              <c:strCache>
                <c:ptCount val="1"/>
                <c:pt idx="0">
                  <c:v>В місті де навчаюсь зараз</c:v>
                </c:pt>
              </c:strCache>
            </c:strRef>
          </c:tx>
          <c:cat>
            <c:strRef>
              <c:f>Лист2!$D$5:$I$5</c:f>
              <c:strCache>
                <c:ptCount val="6"/>
                <c:pt idx="0">
                  <c:v>Одеська, %</c:v>
                </c:pt>
                <c:pt idx="1">
                  <c:v>Київ та Київська, %</c:v>
                </c:pt>
                <c:pt idx="2">
                  <c:v>Дніпропетровська, %</c:v>
                </c:pt>
                <c:pt idx="3">
                  <c:v>Запорізька, %</c:v>
                </c:pt>
                <c:pt idx="4">
                  <c:v>Харківська, %</c:v>
                </c:pt>
                <c:pt idx="5">
                  <c:v>%</c:v>
                </c:pt>
              </c:strCache>
            </c:strRef>
          </c:cat>
          <c:val>
            <c:numRef>
              <c:f>Лист2!$D$6:$I$6</c:f>
              <c:numCache>
                <c:formatCode>General</c:formatCode>
                <c:ptCount val="6"/>
                <c:pt idx="0">
                  <c:v>70</c:v>
                </c:pt>
                <c:pt idx="1">
                  <c:v>33</c:v>
                </c:pt>
                <c:pt idx="2">
                  <c:v>30</c:v>
                </c:pt>
                <c:pt idx="3">
                  <c:v>30</c:v>
                </c:pt>
                <c:pt idx="4">
                  <c:v>40</c:v>
                </c:pt>
                <c:pt idx="5">
                  <c:v>36.9</c:v>
                </c:pt>
              </c:numCache>
            </c:numRef>
          </c:val>
        </c:ser>
        <c:ser>
          <c:idx val="1"/>
          <c:order val="1"/>
          <c:tx>
            <c:strRef>
              <c:f>Лист2!$C$7</c:f>
              <c:strCache>
                <c:ptCount val="1"/>
                <c:pt idx="0">
                  <c:v>Повернусь до рідного міста / села</c:v>
                </c:pt>
              </c:strCache>
            </c:strRef>
          </c:tx>
          <c:cat>
            <c:strRef>
              <c:f>Лист2!$D$5:$I$5</c:f>
              <c:strCache>
                <c:ptCount val="6"/>
                <c:pt idx="0">
                  <c:v>Одеська, %</c:v>
                </c:pt>
                <c:pt idx="1">
                  <c:v>Київ та Київська, %</c:v>
                </c:pt>
                <c:pt idx="2">
                  <c:v>Дніпропетровська, %</c:v>
                </c:pt>
                <c:pt idx="3">
                  <c:v>Запорізька, %</c:v>
                </c:pt>
                <c:pt idx="4">
                  <c:v>Харківська, %</c:v>
                </c:pt>
                <c:pt idx="5">
                  <c:v>%</c:v>
                </c:pt>
              </c:strCache>
            </c:strRef>
          </c:cat>
          <c:val>
            <c:numRef>
              <c:f>Лист2!$D$7:$I$7</c:f>
              <c:numCache>
                <c:formatCode>General</c:formatCode>
                <c:ptCount val="6"/>
                <c:pt idx="0">
                  <c:v>10</c:v>
                </c:pt>
                <c:pt idx="1">
                  <c:v>15</c:v>
                </c:pt>
                <c:pt idx="2">
                  <c:v>15</c:v>
                </c:pt>
                <c:pt idx="3">
                  <c:v>10</c:v>
                </c:pt>
                <c:pt idx="4">
                  <c:v>7</c:v>
                </c:pt>
                <c:pt idx="5">
                  <c:v>11.2</c:v>
                </c:pt>
              </c:numCache>
            </c:numRef>
          </c:val>
        </c:ser>
        <c:ser>
          <c:idx val="2"/>
          <c:order val="2"/>
          <c:tx>
            <c:strRef>
              <c:f>Лист2!$C$8</c:f>
              <c:strCache>
                <c:ptCount val="1"/>
                <c:pt idx="0">
                  <c:v>Переїду до іншого міста в межах України</c:v>
                </c:pt>
              </c:strCache>
            </c:strRef>
          </c:tx>
          <c:cat>
            <c:strRef>
              <c:f>Лист2!$D$5:$I$5</c:f>
              <c:strCache>
                <c:ptCount val="6"/>
                <c:pt idx="0">
                  <c:v>Одеська, %</c:v>
                </c:pt>
                <c:pt idx="1">
                  <c:v>Київ та Київська, %</c:v>
                </c:pt>
                <c:pt idx="2">
                  <c:v>Дніпропетровська, %</c:v>
                </c:pt>
                <c:pt idx="3">
                  <c:v>Запорізька, %</c:v>
                </c:pt>
                <c:pt idx="4">
                  <c:v>Харківська, %</c:v>
                </c:pt>
                <c:pt idx="5">
                  <c:v>%</c:v>
                </c:pt>
              </c:strCache>
            </c:strRef>
          </c:cat>
          <c:val>
            <c:numRef>
              <c:f>Лист2!$D$8:$I$8</c:f>
              <c:numCache>
                <c:formatCode>General</c:formatCode>
                <c:ptCount val="6"/>
                <c:pt idx="0">
                  <c:v>0</c:v>
                </c:pt>
                <c:pt idx="1">
                  <c:v>27</c:v>
                </c:pt>
                <c:pt idx="2">
                  <c:v>27</c:v>
                </c:pt>
                <c:pt idx="3">
                  <c:v>40</c:v>
                </c:pt>
                <c:pt idx="4">
                  <c:v>15</c:v>
                </c:pt>
                <c:pt idx="5">
                  <c:v>21.9</c:v>
                </c:pt>
              </c:numCache>
            </c:numRef>
          </c:val>
        </c:ser>
        <c:ser>
          <c:idx val="3"/>
          <c:order val="3"/>
          <c:tx>
            <c:strRef>
              <c:f>Лист2!$C$9</c:f>
              <c:strCache>
                <c:ptCount val="1"/>
                <c:pt idx="0">
                  <c:v>Планую виїхати за кордон</c:v>
                </c:pt>
              </c:strCache>
            </c:strRef>
          </c:tx>
          <c:cat>
            <c:strRef>
              <c:f>Лист2!$D$5:$I$5</c:f>
              <c:strCache>
                <c:ptCount val="6"/>
                <c:pt idx="0">
                  <c:v>Одеська, %</c:v>
                </c:pt>
                <c:pt idx="1">
                  <c:v>Київ та Київська, %</c:v>
                </c:pt>
                <c:pt idx="2">
                  <c:v>Дніпропетровська, %</c:v>
                </c:pt>
                <c:pt idx="3">
                  <c:v>Запорізька, %</c:v>
                </c:pt>
                <c:pt idx="4">
                  <c:v>Харківська, %</c:v>
                </c:pt>
                <c:pt idx="5">
                  <c:v>%</c:v>
                </c:pt>
              </c:strCache>
            </c:strRef>
          </c:cat>
          <c:val>
            <c:numRef>
              <c:f>Лист2!$D$9:$I$9</c:f>
              <c:numCache>
                <c:formatCode>General</c:formatCode>
                <c:ptCount val="6"/>
                <c:pt idx="0">
                  <c:v>20</c:v>
                </c:pt>
                <c:pt idx="1">
                  <c:v>14</c:v>
                </c:pt>
                <c:pt idx="2">
                  <c:v>17</c:v>
                </c:pt>
                <c:pt idx="3">
                  <c:v>10</c:v>
                </c:pt>
                <c:pt idx="4">
                  <c:v>23</c:v>
                </c:pt>
                <c:pt idx="5">
                  <c:v>18.100000000000001</c:v>
                </c:pt>
              </c:numCache>
            </c:numRef>
          </c:val>
        </c:ser>
        <c:ser>
          <c:idx val="4"/>
          <c:order val="4"/>
          <c:tx>
            <c:strRef>
              <c:f>Лист2!$C$10</c:f>
              <c:strCache>
                <c:ptCount val="1"/>
                <c:pt idx="0">
                  <c:v>Інше</c:v>
                </c:pt>
              </c:strCache>
            </c:strRef>
          </c:tx>
          <c:cat>
            <c:strRef>
              <c:f>Лист2!$D$5:$I$5</c:f>
              <c:strCache>
                <c:ptCount val="6"/>
                <c:pt idx="0">
                  <c:v>Одеська, %</c:v>
                </c:pt>
                <c:pt idx="1">
                  <c:v>Київ та Київська, %</c:v>
                </c:pt>
                <c:pt idx="2">
                  <c:v>Дніпропетровська, %</c:v>
                </c:pt>
                <c:pt idx="3">
                  <c:v>Запорізька, %</c:v>
                </c:pt>
                <c:pt idx="4">
                  <c:v>Харківська, %</c:v>
                </c:pt>
                <c:pt idx="5">
                  <c:v>%</c:v>
                </c:pt>
              </c:strCache>
            </c:strRef>
          </c:cat>
          <c:val>
            <c:numRef>
              <c:f>Лист2!$D$10:$I$10</c:f>
              <c:numCache>
                <c:formatCode>General</c:formatCode>
                <c:ptCount val="6"/>
                <c:pt idx="1">
                  <c:v>11</c:v>
                </c:pt>
                <c:pt idx="2">
                  <c:v>11</c:v>
                </c:pt>
                <c:pt idx="3">
                  <c:v>10</c:v>
                </c:pt>
                <c:pt idx="4">
                  <c:v>15</c:v>
                </c:pt>
                <c:pt idx="5">
                  <c:v>11.8</c:v>
                </c:pt>
              </c:numCache>
            </c:numRef>
          </c:val>
        </c:ser>
        <c:axId val="137922048"/>
        <c:axId val="137923584"/>
      </c:barChart>
      <c:catAx>
        <c:axId val="137922048"/>
        <c:scaling>
          <c:orientation val="minMax"/>
        </c:scaling>
        <c:axPos val="b"/>
        <c:tickLblPos val="nextTo"/>
        <c:crossAx val="137923584"/>
        <c:crosses val="autoZero"/>
        <c:auto val="1"/>
        <c:lblAlgn val="ctr"/>
        <c:lblOffset val="100"/>
      </c:catAx>
      <c:valAx>
        <c:axId val="137923584"/>
        <c:scaling>
          <c:orientation val="minMax"/>
        </c:scaling>
        <c:axPos val="l"/>
        <c:majorGridlines/>
        <c:numFmt formatCode="General" sourceLinked="1"/>
        <c:tickLblPos val="nextTo"/>
        <c:crossAx val="137922048"/>
        <c:crosses val="autoZero"/>
        <c:crossBetween val="between"/>
      </c:valAx>
    </c:plotArea>
    <c:legend>
      <c:legendPos val="r"/>
    </c:legend>
    <c:plotVisOnly val="1"/>
    <c:dispBlanksAs val="gap"/>
  </c:chart>
  <c:spPr>
    <a:solidFill>
      <a:schemeClr val="accent1">
        <a:lumMod val="20000"/>
        <a:lumOff val="80000"/>
      </a:schemeClr>
    </a:solidFill>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C07E7-83AB-436A-9EEF-AF073DA3B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4003</Words>
  <Characters>22820</Characters>
  <Application>Microsoft Office Word</Application>
  <DocSecurity>4</DocSecurity>
  <Lines>190</Lines>
  <Paragraphs>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XTreme.ws</Company>
  <LinksUpToDate>false</LinksUpToDate>
  <CharactersWithSpaces>26770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Айдер</dc:creator>
  <cp:lastModifiedBy>GRYSHKO</cp:lastModifiedBy>
  <cp:revision>2</cp:revision>
  <dcterms:created xsi:type="dcterms:W3CDTF">2015-04-27T12:43:00Z</dcterms:created>
  <dcterms:modified xsi:type="dcterms:W3CDTF">2015-04-27T12:43:00Z</dcterms:modified>
</cp:coreProperties>
</file>